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433C" w14:textId="1283EE5F" w:rsidR="00E11E77" w:rsidRPr="00360B0A" w:rsidRDefault="008536D9" w:rsidP="0019703C">
      <w:pPr>
        <w:rPr>
          <w:rFonts w:ascii="Arial" w:eastAsia="Times New Roman" w:hAnsi="Arial" w:cs="Arial"/>
          <w:i/>
          <w:iCs/>
          <w:lang w:val="es-ES"/>
        </w:rPr>
      </w:pPr>
      <w:bookmarkStart w:id="0" w:name="_Hlk15982172"/>
      <w:r>
        <w:rPr>
          <w:rFonts w:ascii="Arial" w:eastAsia="Times New Roman" w:hAnsi="Arial" w:cs="Arial"/>
          <w:i/>
          <w:iCs/>
          <w:lang w:val="es-ES"/>
        </w:rPr>
        <w:t>.</w:t>
      </w:r>
      <w:r w:rsidR="00E11E77" w:rsidRPr="00360B0A">
        <w:rPr>
          <w:rFonts w:ascii="Arial" w:eastAsia="Times New Roman" w:hAnsi="Arial" w:cs="Arial"/>
          <w:i/>
          <w:iCs/>
          <w:lang w:val="es-ES"/>
        </w:rPr>
        <w:t>A la hora de comunicar sus compromisos de cofinanciamiento al Fondo Mundial, los países pueden utilizar esta carta modelo, adaptándola a su contexto nacional. Sin embargo, el Fondo Mundial exige que presenten la información de las secciones 1.1 y 1.2. Asimismo, los países deben poder proporcionar al Fondo Mundial documentación y evidencias verificables y fiables sobre el gasto de fondos nacionales o, cuando todavía no se disponga de las cifras sobre el gasto, los últimos montos presupuestados.</w:t>
      </w:r>
    </w:p>
    <w:p w14:paraId="3ED9F3BD" w14:textId="77777777" w:rsidR="00E11E77" w:rsidRDefault="00E11E77" w:rsidP="0019703C">
      <w:pPr>
        <w:rPr>
          <w:rFonts w:ascii="Arial" w:eastAsia="Times New Roman" w:hAnsi="Arial" w:cs="Arial"/>
          <w:b/>
          <w:bCs/>
          <w:lang w:val="es-ES"/>
        </w:rPr>
      </w:pPr>
    </w:p>
    <w:p w14:paraId="0A556B1E" w14:textId="5D090A38" w:rsidR="00333D33" w:rsidRPr="00B7033D" w:rsidRDefault="00657239" w:rsidP="0019703C">
      <w:pPr>
        <w:rPr>
          <w:rFonts w:ascii="Arial" w:eastAsia="Times New Roman" w:hAnsi="Arial" w:cs="Arial"/>
          <w:b/>
          <w:lang w:val="es-ES"/>
        </w:rPr>
      </w:pPr>
      <w:r w:rsidRPr="00B7033D">
        <w:rPr>
          <w:rFonts w:ascii="Arial" w:eastAsia="Times New Roman" w:hAnsi="Arial" w:cs="Arial"/>
          <w:b/>
          <w:bCs/>
          <w:lang w:val="es-ES"/>
        </w:rPr>
        <w:t>Plantilla: Compromiso de cofinanciamiento del gobierno con las respuestas nacionales financiadas por el Fondo Mundial</w:t>
      </w:r>
    </w:p>
    <w:p w14:paraId="0A556B1F" w14:textId="77777777" w:rsidR="009308B2" w:rsidRPr="00B7033D" w:rsidRDefault="009308B2" w:rsidP="00A371C5">
      <w:pPr>
        <w:rPr>
          <w:rFonts w:ascii="Arial" w:eastAsia="Times New Roman" w:hAnsi="Arial" w:cs="Arial"/>
          <w:lang w:val="es-ES"/>
        </w:rPr>
      </w:pPr>
    </w:p>
    <w:p w14:paraId="0A556B20" w14:textId="77777777" w:rsidR="00D66E03" w:rsidRPr="00B7033D" w:rsidRDefault="00D66E03" w:rsidP="00D66E03">
      <w:pPr>
        <w:rPr>
          <w:rFonts w:ascii="Arial" w:eastAsia="Times New Roman" w:hAnsi="Arial" w:cs="Arial"/>
          <w:lang w:val="es-ES"/>
        </w:rPr>
      </w:pPr>
      <w:r w:rsidRPr="00B7033D">
        <w:rPr>
          <w:rFonts w:ascii="Arial" w:eastAsia="Times New Roman" w:hAnsi="Arial" w:cs="Arial"/>
          <w:lang w:val="es-ES"/>
        </w:rPr>
        <w:t>El Fondo Mundial de lucha contra el sida, la tuberculosis y la malaria</w:t>
      </w:r>
    </w:p>
    <w:p w14:paraId="0A556B21" w14:textId="77777777" w:rsidR="00D66E03" w:rsidRPr="00B7033D" w:rsidRDefault="00D66E03" w:rsidP="00D66E03">
      <w:pPr>
        <w:rPr>
          <w:rFonts w:ascii="Arial" w:eastAsia="Times New Roman" w:hAnsi="Arial" w:cs="Arial"/>
          <w:lang w:val="es-ES"/>
        </w:rPr>
      </w:pPr>
      <w:r w:rsidRPr="00B7033D">
        <w:rPr>
          <w:rFonts w:ascii="Arial" w:eastAsia="Times New Roman" w:hAnsi="Arial" w:cs="Arial"/>
          <w:lang w:val="es-ES"/>
        </w:rPr>
        <w:t>Global Health Campus</w:t>
      </w:r>
    </w:p>
    <w:p w14:paraId="0A556B22" w14:textId="77777777" w:rsidR="00D66E03" w:rsidRPr="00B7033D" w:rsidRDefault="00D66E03" w:rsidP="00D66E03">
      <w:pPr>
        <w:rPr>
          <w:rFonts w:ascii="Arial" w:eastAsia="Times New Roman" w:hAnsi="Arial" w:cs="Arial"/>
          <w:lang w:val="es-ES"/>
        </w:rPr>
      </w:pPr>
      <w:r w:rsidRPr="00B7033D">
        <w:rPr>
          <w:rFonts w:ascii="Arial" w:eastAsia="Times New Roman" w:hAnsi="Arial" w:cs="Arial"/>
          <w:lang w:val="es-ES"/>
        </w:rPr>
        <w:t>Chemin du Pommier 40</w:t>
      </w:r>
    </w:p>
    <w:p w14:paraId="0A556B23" w14:textId="77777777" w:rsidR="00D66E03" w:rsidRPr="00B7033D" w:rsidRDefault="00D66E03" w:rsidP="00D66E03">
      <w:pPr>
        <w:rPr>
          <w:rFonts w:ascii="Arial" w:eastAsia="Times New Roman" w:hAnsi="Arial" w:cs="Arial"/>
          <w:lang w:val="es-ES"/>
        </w:rPr>
      </w:pPr>
      <w:r w:rsidRPr="00B7033D">
        <w:rPr>
          <w:rFonts w:ascii="Arial" w:eastAsia="Times New Roman" w:hAnsi="Arial" w:cs="Arial"/>
          <w:lang w:val="es-ES"/>
        </w:rPr>
        <w:t>1218 Grand-Saconnex</w:t>
      </w:r>
    </w:p>
    <w:p w14:paraId="0A556B24" w14:textId="77777777" w:rsidR="009308B2" w:rsidRPr="00B7033D" w:rsidRDefault="00D66E03" w:rsidP="00D66E03">
      <w:pPr>
        <w:rPr>
          <w:rFonts w:ascii="Arial" w:eastAsia="Times New Roman" w:hAnsi="Arial" w:cs="Arial"/>
          <w:lang w:val="es-ES"/>
        </w:rPr>
      </w:pPr>
      <w:r w:rsidRPr="00B7033D">
        <w:rPr>
          <w:rFonts w:ascii="Arial" w:eastAsia="Times New Roman" w:hAnsi="Arial" w:cs="Arial"/>
          <w:lang w:val="es-ES"/>
        </w:rPr>
        <w:t>Ginebra, Suiza</w:t>
      </w:r>
    </w:p>
    <w:p w14:paraId="0A556B25" w14:textId="77777777" w:rsidR="00D66E03" w:rsidRPr="00B7033D" w:rsidRDefault="00D66E03" w:rsidP="00D66E03">
      <w:pPr>
        <w:rPr>
          <w:rFonts w:ascii="Arial" w:eastAsia="Times New Roman" w:hAnsi="Arial" w:cs="Arial"/>
          <w:lang w:val="es-ES"/>
        </w:rPr>
      </w:pPr>
    </w:p>
    <w:p w14:paraId="0A556B26" w14:textId="77777777" w:rsidR="009308B2" w:rsidRPr="00B7033D" w:rsidRDefault="009308B2" w:rsidP="00A371C5">
      <w:pPr>
        <w:rPr>
          <w:rFonts w:ascii="Arial" w:eastAsia="Times New Roman" w:hAnsi="Arial" w:cs="Arial"/>
          <w:lang w:val="es-ES"/>
        </w:rPr>
      </w:pPr>
      <w:r w:rsidRPr="00B7033D">
        <w:rPr>
          <w:rFonts w:ascii="Arial" w:eastAsia="Times New Roman" w:hAnsi="Arial" w:cs="Arial"/>
          <w:highlight w:val="yellow"/>
          <w:lang w:val="es-ES"/>
        </w:rPr>
        <w:t>[Fecha]</w:t>
      </w:r>
    </w:p>
    <w:p w14:paraId="0A556B27" w14:textId="77777777" w:rsidR="00333D33" w:rsidRPr="00B7033D" w:rsidRDefault="00333D33" w:rsidP="00333D33">
      <w:pPr>
        <w:spacing w:line="242" w:lineRule="atLeast"/>
        <w:rPr>
          <w:rFonts w:ascii="Arial" w:eastAsia="Times New Roman" w:hAnsi="Arial" w:cs="Arial"/>
          <w:lang w:val="es-ES"/>
        </w:rPr>
      </w:pPr>
    </w:p>
    <w:p w14:paraId="0A556B28" w14:textId="77777777" w:rsidR="0016277D" w:rsidRPr="00B7033D" w:rsidRDefault="0016277D" w:rsidP="00333D33">
      <w:pPr>
        <w:spacing w:line="242" w:lineRule="atLeast"/>
        <w:rPr>
          <w:rFonts w:ascii="Arial" w:eastAsia="Times New Roman" w:hAnsi="Arial" w:cs="Arial"/>
          <w:lang w:val="es-ES"/>
        </w:rPr>
      </w:pPr>
      <w:r w:rsidRPr="00B7033D">
        <w:rPr>
          <w:rFonts w:ascii="Arial" w:eastAsia="Times New Roman" w:hAnsi="Arial" w:cs="Arial"/>
          <w:lang w:val="es-ES"/>
        </w:rPr>
        <w:t xml:space="preserve">Estimado </w:t>
      </w:r>
      <w:r w:rsidRPr="00B7033D">
        <w:rPr>
          <w:rFonts w:ascii="Arial" w:eastAsia="Times New Roman" w:hAnsi="Arial" w:cs="Arial"/>
          <w:highlight w:val="yellow"/>
          <w:lang w:val="es-ES"/>
        </w:rPr>
        <w:t>[oficial del Fondo Mundial]</w:t>
      </w:r>
      <w:r w:rsidRPr="00B7033D">
        <w:rPr>
          <w:lang w:val="es-ES"/>
        </w:rPr>
        <w:t>:</w:t>
      </w:r>
    </w:p>
    <w:p w14:paraId="0A556B29" w14:textId="77777777" w:rsidR="0016277D" w:rsidRPr="00B7033D" w:rsidRDefault="0016277D" w:rsidP="00333D33">
      <w:pPr>
        <w:spacing w:line="242" w:lineRule="atLeast"/>
        <w:rPr>
          <w:rFonts w:ascii="Arial" w:eastAsia="Times New Roman" w:hAnsi="Arial" w:cs="Arial"/>
          <w:lang w:val="es-ES"/>
        </w:rPr>
      </w:pPr>
    </w:p>
    <w:p w14:paraId="0A556B2A" w14:textId="77777777" w:rsidR="002F04C4" w:rsidRPr="00B7033D" w:rsidRDefault="0075553E" w:rsidP="00BF3CC3">
      <w:pPr>
        <w:rPr>
          <w:rFonts w:ascii="Arial" w:eastAsia="Times New Roman" w:hAnsi="Arial" w:cs="Arial"/>
          <w:lang w:val="es-ES"/>
        </w:rPr>
      </w:pPr>
      <w:r w:rsidRPr="00B7033D">
        <w:rPr>
          <w:rFonts w:ascii="Arial" w:eastAsia="Times New Roman" w:hAnsi="Arial" w:cs="Arial"/>
          <w:lang w:val="es-ES"/>
        </w:rPr>
        <w:t xml:space="preserve">La presente carta refleja nuestros compromisos de cofinanciamiento para el período de asignación 2023-2025 del Fondo Mundial, que para </w:t>
      </w:r>
      <w:r w:rsidRPr="00B7033D">
        <w:rPr>
          <w:rFonts w:ascii="Arial" w:eastAsia="Times New Roman" w:hAnsi="Arial" w:cs="Arial"/>
          <w:highlight w:val="yellow"/>
          <w:lang w:val="es-ES"/>
        </w:rPr>
        <w:t>[país]</w:t>
      </w:r>
      <w:r w:rsidRPr="00B7033D">
        <w:rPr>
          <w:rFonts w:ascii="Arial" w:eastAsia="Times New Roman" w:hAnsi="Arial" w:cs="Arial"/>
          <w:lang w:val="es-ES"/>
        </w:rPr>
        <w:t xml:space="preserve"> debe cubrir el período </w:t>
      </w:r>
      <w:r w:rsidRPr="00B7033D">
        <w:rPr>
          <w:rFonts w:ascii="Arial" w:eastAsia="Times New Roman" w:hAnsi="Arial" w:cs="Arial"/>
          <w:highlight w:val="yellow"/>
          <w:lang w:val="es-ES"/>
        </w:rPr>
        <w:t>[incluir el período de utilización de la asignación correspondiente para el país]</w:t>
      </w:r>
      <w:r w:rsidRPr="00B7033D">
        <w:rPr>
          <w:rFonts w:ascii="Arial" w:eastAsia="Times New Roman" w:hAnsi="Arial" w:cs="Arial"/>
          <w:lang w:val="es-ES"/>
        </w:rPr>
        <w:t xml:space="preserve"> (inclusive).</w:t>
      </w:r>
    </w:p>
    <w:p w14:paraId="0A556B2B" w14:textId="77777777" w:rsidR="0012244F" w:rsidRPr="00B7033D" w:rsidRDefault="0012244F" w:rsidP="00BF3CC3">
      <w:pPr>
        <w:rPr>
          <w:rFonts w:ascii="Arial" w:eastAsia="Times New Roman" w:hAnsi="Arial" w:cs="Arial"/>
          <w:lang w:val="es-ES"/>
        </w:rPr>
      </w:pPr>
    </w:p>
    <w:p w14:paraId="0A556B2C" w14:textId="77777777" w:rsidR="000F1BF7" w:rsidRPr="00B7033D" w:rsidRDefault="0012244F" w:rsidP="7296D1AD">
      <w:pPr>
        <w:rPr>
          <w:rFonts w:ascii="Arial" w:eastAsia="Times New Roman" w:hAnsi="Arial" w:cs="Arial"/>
          <w:lang w:val="es-ES"/>
        </w:rPr>
      </w:pPr>
      <w:r w:rsidRPr="00B7033D">
        <w:rPr>
          <w:rFonts w:ascii="Arial" w:eastAsia="Times New Roman" w:hAnsi="Arial" w:cs="Arial"/>
          <w:lang w:val="es-ES"/>
        </w:rPr>
        <w:t>Adoptamos estos compromisos de cofinanciamiento porque comprendemos la importancia de reforzar y ampliar el financiamiento nacional de nuestras respuestas al VIH, la tuberculosis y la malaria, así como para construir sistemas para la salud resilientes y sostenibles (SSRS). Los compromisos de cofinanciamiento que figuran en esta carta también tienen en cuenta nuestra situación general desde el punto de vista macroeconómico y fiscal, y se basan en una evaluación pormenorizada del nivel de movilización de recursos nacionales que podemos conseguir de forma sostenible, teniendo en cuenta otras prioridades sanitarias, sociales y económicas de nuestro país.</w:t>
      </w:r>
    </w:p>
    <w:p w14:paraId="0A556B2D" w14:textId="77777777" w:rsidR="00050560" w:rsidRPr="00B7033D" w:rsidRDefault="00050560" w:rsidP="00333D33">
      <w:pPr>
        <w:pStyle w:val="ListParagraph"/>
        <w:numPr>
          <w:ilvl w:val="0"/>
          <w:numId w:val="10"/>
        </w:numPr>
        <w:spacing w:line="242" w:lineRule="atLeast"/>
        <w:rPr>
          <w:rFonts w:ascii="Arial" w:hAnsi="Arial" w:cs="Arial"/>
          <w:b/>
          <w:bCs/>
          <w:lang w:val="es-ES"/>
        </w:rPr>
      </w:pPr>
      <w:r w:rsidRPr="00B7033D">
        <w:rPr>
          <w:rFonts w:ascii="Arial" w:hAnsi="Arial" w:cs="Arial"/>
          <w:b/>
          <w:bCs/>
          <w:lang w:val="es-ES"/>
        </w:rPr>
        <w:t xml:space="preserve">Cofinanciamiento en el período de asignación 2023-2025 </w:t>
      </w:r>
    </w:p>
    <w:p w14:paraId="0A556B2E" w14:textId="77777777" w:rsidR="000250C5" w:rsidRPr="00B7033D" w:rsidRDefault="00A406A4" w:rsidP="00E043EE">
      <w:pPr>
        <w:spacing w:line="242" w:lineRule="atLeast"/>
        <w:rPr>
          <w:rFonts w:ascii="Arial" w:hAnsi="Arial" w:cs="Arial"/>
          <w:lang w:val="es-ES"/>
        </w:rPr>
      </w:pPr>
      <w:r w:rsidRPr="00B7033D">
        <w:rPr>
          <w:rFonts w:ascii="Arial" w:hAnsi="Arial" w:cs="Arial"/>
          <w:b/>
          <w:bCs/>
          <w:i/>
          <w:iCs/>
          <w:lang w:val="es-ES"/>
        </w:rPr>
        <w:t>1.1. Compromisos relativos al gasto general en salud.</w:t>
      </w:r>
      <w:r w:rsidRPr="00B7033D">
        <w:rPr>
          <w:rFonts w:ascii="Arial" w:hAnsi="Arial" w:cs="Arial"/>
          <w:i/>
          <w:iCs/>
          <w:lang w:val="es-ES"/>
        </w:rPr>
        <w:t xml:space="preserve"> </w:t>
      </w:r>
      <w:r w:rsidRPr="00B7033D">
        <w:rPr>
          <w:rFonts w:ascii="Arial" w:hAnsi="Arial" w:cs="Arial"/>
          <w:lang w:val="es-ES"/>
        </w:rPr>
        <w:t xml:space="preserve">Durante el período de asignación 2023-2025, pretendemos </w:t>
      </w:r>
      <w:r w:rsidRPr="00B7033D">
        <w:rPr>
          <w:rFonts w:ascii="Arial" w:hAnsi="Arial" w:cs="Arial"/>
          <w:highlight w:val="yellow"/>
          <w:lang w:val="es-ES"/>
        </w:rPr>
        <w:t>[como se muestra en los documentos presupuestarios adjuntos]</w:t>
      </w:r>
      <w:r w:rsidRPr="00B7033D">
        <w:rPr>
          <w:rFonts w:ascii="Arial" w:hAnsi="Arial" w:cs="Arial"/>
          <w:lang w:val="es-ES"/>
        </w:rPr>
        <w:t xml:space="preserve"> incrementar el presupuesto público para la salud de </w:t>
      </w:r>
      <w:r w:rsidRPr="00B7033D">
        <w:rPr>
          <w:rFonts w:ascii="Arial" w:hAnsi="Arial" w:cs="Arial"/>
          <w:highlight w:val="yellow"/>
          <w:lang w:val="es-ES"/>
        </w:rPr>
        <w:t>XX (USD/EUR)</w:t>
      </w:r>
      <w:r w:rsidRPr="00B7033D">
        <w:rPr>
          <w:rFonts w:ascii="Arial" w:hAnsi="Arial" w:cs="Arial"/>
          <w:lang w:val="es-ES"/>
        </w:rPr>
        <w:t xml:space="preserve"> en </w:t>
      </w:r>
      <w:r w:rsidRPr="00B7033D">
        <w:rPr>
          <w:rFonts w:ascii="Arial" w:hAnsi="Arial" w:cs="Arial"/>
          <w:highlight w:val="yellow"/>
          <w:lang w:val="es-ES"/>
        </w:rPr>
        <w:t>[2023]</w:t>
      </w:r>
      <w:r w:rsidRPr="00B7033D">
        <w:rPr>
          <w:rFonts w:ascii="Arial" w:hAnsi="Arial" w:cs="Arial"/>
          <w:lang w:val="es-ES"/>
        </w:rPr>
        <w:t xml:space="preserve"> a </w:t>
      </w:r>
      <w:r w:rsidRPr="00B7033D">
        <w:rPr>
          <w:rFonts w:ascii="Arial" w:hAnsi="Arial" w:cs="Arial"/>
          <w:highlight w:val="yellow"/>
          <w:lang w:val="es-ES"/>
        </w:rPr>
        <w:t>YY (USD/EUR)</w:t>
      </w:r>
      <w:r w:rsidRPr="00B7033D">
        <w:rPr>
          <w:rFonts w:ascii="Arial" w:hAnsi="Arial" w:cs="Arial"/>
          <w:lang w:val="es-ES"/>
        </w:rPr>
        <w:t xml:space="preserve"> en </w:t>
      </w:r>
      <w:r w:rsidRPr="00B7033D">
        <w:rPr>
          <w:rFonts w:ascii="Arial" w:hAnsi="Arial" w:cs="Arial"/>
          <w:highlight w:val="yellow"/>
          <w:lang w:val="es-ES"/>
        </w:rPr>
        <w:t>[2026]</w:t>
      </w:r>
      <w:r w:rsidRPr="00B7033D">
        <w:rPr>
          <w:rFonts w:ascii="Arial" w:hAnsi="Arial" w:cs="Arial"/>
          <w:lang w:val="es-ES"/>
        </w:rPr>
        <w:t xml:space="preserve">, lo que supone un índice de crecimiento del </w:t>
      </w:r>
      <w:r w:rsidRPr="00B7033D">
        <w:rPr>
          <w:rFonts w:ascii="Arial" w:hAnsi="Arial" w:cs="Arial"/>
          <w:highlight w:val="yellow"/>
          <w:lang w:val="es-ES"/>
        </w:rPr>
        <w:t>ZZ%</w:t>
      </w:r>
      <w:r w:rsidRPr="00B7033D">
        <w:rPr>
          <w:rFonts w:ascii="Arial" w:hAnsi="Arial" w:cs="Arial"/>
          <w:lang w:val="es-ES"/>
        </w:rPr>
        <w:t xml:space="preserve">. Esperamos que la salud represente un </w:t>
      </w:r>
      <w:r w:rsidRPr="00B7033D">
        <w:rPr>
          <w:rFonts w:ascii="Arial" w:hAnsi="Arial" w:cs="Arial"/>
          <w:highlight w:val="yellow"/>
          <w:lang w:val="es-ES"/>
        </w:rPr>
        <w:t>AA%</w:t>
      </w:r>
      <w:r w:rsidRPr="00B7033D">
        <w:rPr>
          <w:rFonts w:ascii="Arial" w:hAnsi="Arial" w:cs="Arial"/>
          <w:lang w:val="es-ES"/>
        </w:rPr>
        <w:t xml:space="preserve"> del gasto público total en </w:t>
      </w:r>
      <w:r w:rsidRPr="00B7033D">
        <w:rPr>
          <w:rFonts w:ascii="Arial" w:hAnsi="Arial" w:cs="Arial"/>
          <w:highlight w:val="yellow"/>
          <w:lang w:val="es-ES"/>
        </w:rPr>
        <w:t>[2023]</w:t>
      </w:r>
      <w:r w:rsidRPr="00B7033D">
        <w:rPr>
          <w:rFonts w:ascii="Arial" w:hAnsi="Arial" w:cs="Arial"/>
          <w:lang w:val="es-ES"/>
        </w:rPr>
        <w:t xml:space="preserve"> y un </w:t>
      </w:r>
      <w:r w:rsidRPr="00B7033D">
        <w:rPr>
          <w:rFonts w:ascii="Arial" w:hAnsi="Arial" w:cs="Arial"/>
          <w:highlight w:val="yellow"/>
          <w:lang w:val="es-ES"/>
        </w:rPr>
        <w:t>BB%</w:t>
      </w:r>
      <w:r w:rsidRPr="00B7033D">
        <w:rPr>
          <w:rFonts w:ascii="Arial" w:hAnsi="Arial" w:cs="Arial"/>
          <w:lang w:val="es-ES"/>
        </w:rPr>
        <w:t xml:space="preserve"> en </w:t>
      </w:r>
      <w:r w:rsidRPr="00B7033D">
        <w:rPr>
          <w:rFonts w:ascii="Arial" w:hAnsi="Arial" w:cs="Arial"/>
          <w:highlight w:val="yellow"/>
          <w:lang w:val="es-ES"/>
        </w:rPr>
        <w:t>[2026]</w:t>
      </w:r>
      <w:r w:rsidRPr="00B7033D">
        <w:rPr>
          <w:rFonts w:ascii="Arial" w:hAnsi="Arial" w:cs="Arial"/>
          <w:lang w:val="es-ES"/>
        </w:rPr>
        <w:t>. Comprendemos la importancia de asignar una proporción significativa de nuestro gasto público al sector sanitario y de establecer una base sólida para nuestras contribuciones nacionales a las respuestas al VIH, la tuberculosis y la malaria, así como a los SSRS en el país.</w:t>
      </w:r>
    </w:p>
    <w:p w14:paraId="0A556B2F" w14:textId="77777777" w:rsidR="00546943" w:rsidRPr="00B7033D" w:rsidRDefault="00546943" w:rsidP="00333D33">
      <w:pPr>
        <w:spacing w:line="242" w:lineRule="atLeast"/>
        <w:rPr>
          <w:rFonts w:ascii="Arial" w:eastAsia="Times New Roman" w:hAnsi="Arial" w:cs="Arial"/>
          <w:b/>
          <w:bCs/>
          <w:lang w:val="es-ES"/>
        </w:rPr>
      </w:pPr>
    </w:p>
    <w:p w14:paraId="0A556B30" w14:textId="77777777" w:rsidR="005249E6" w:rsidRPr="00B7033D" w:rsidRDefault="00A406A4" w:rsidP="00333D33">
      <w:pPr>
        <w:spacing w:line="242" w:lineRule="atLeast"/>
        <w:rPr>
          <w:rFonts w:ascii="Arial" w:eastAsia="Times New Roman" w:hAnsi="Arial" w:cs="Arial"/>
          <w:lang w:val="es-ES"/>
        </w:rPr>
      </w:pPr>
      <w:r w:rsidRPr="00B7033D">
        <w:rPr>
          <w:rFonts w:ascii="Arial" w:eastAsia="Times New Roman" w:hAnsi="Arial" w:cs="Arial"/>
          <w:b/>
          <w:bCs/>
          <w:i/>
          <w:iCs/>
          <w:lang w:val="es-ES"/>
        </w:rPr>
        <w:t>1.2. Compromisos relacionados con el VIH, la tuberculosis, la malaria y los SSRS.</w:t>
      </w:r>
      <w:r w:rsidRPr="00B7033D">
        <w:rPr>
          <w:rFonts w:ascii="Arial" w:eastAsia="Times New Roman" w:hAnsi="Arial" w:cs="Arial"/>
          <w:lang w:val="es-ES"/>
        </w:rPr>
        <w:t xml:space="preserve"> Entendemos que, de acuerdo con la carta de asignación del Fondo Mundial con fecha de </w:t>
      </w:r>
      <w:r w:rsidRPr="00B7033D">
        <w:rPr>
          <w:rFonts w:ascii="Arial" w:eastAsia="Times New Roman" w:hAnsi="Arial" w:cs="Arial"/>
          <w:highlight w:val="yellow"/>
          <w:lang w:val="es-ES"/>
        </w:rPr>
        <w:t>AA</w:t>
      </w:r>
      <w:r w:rsidRPr="00B7033D">
        <w:rPr>
          <w:rFonts w:ascii="Arial" w:eastAsia="Times New Roman" w:hAnsi="Arial" w:cs="Arial"/>
          <w:lang w:val="es-ES"/>
        </w:rPr>
        <w:t xml:space="preserve">, solo se podrá acceder a un </w:t>
      </w:r>
      <w:r w:rsidRPr="00B7033D">
        <w:rPr>
          <w:rFonts w:ascii="Arial" w:eastAsia="Times New Roman" w:hAnsi="Arial" w:cs="Arial"/>
          <w:highlight w:val="yellow"/>
          <w:lang w:val="es-ES"/>
        </w:rPr>
        <w:t>X%</w:t>
      </w:r>
      <w:r w:rsidRPr="00B7033D">
        <w:rPr>
          <w:rFonts w:ascii="Arial" w:eastAsia="Times New Roman" w:hAnsi="Arial" w:cs="Arial"/>
          <w:lang w:val="es-ES"/>
        </w:rPr>
        <w:t xml:space="preserve"> de la asignación total de </w:t>
      </w:r>
      <w:r w:rsidRPr="00B7033D">
        <w:rPr>
          <w:rFonts w:ascii="Arial" w:eastAsia="Times New Roman" w:hAnsi="Arial" w:cs="Arial"/>
          <w:highlight w:val="yellow"/>
          <w:lang w:val="es-ES"/>
        </w:rPr>
        <w:t>[país]</w:t>
      </w:r>
      <w:r w:rsidRPr="00B7033D">
        <w:rPr>
          <w:rFonts w:ascii="Arial" w:eastAsia="Times New Roman" w:hAnsi="Arial" w:cs="Arial"/>
          <w:lang w:val="es-ES"/>
        </w:rPr>
        <w:t xml:space="preserve"> de </w:t>
      </w:r>
      <w:r w:rsidRPr="00B7033D">
        <w:rPr>
          <w:rFonts w:ascii="Arial" w:eastAsia="Times New Roman" w:hAnsi="Arial" w:cs="Arial"/>
          <w:highlight w:val="yellow"/>
          <w:lang w:val="es-ES"/>
        </w:rPr>
        <w:t>[asignación total en USD/EUR]</w:t>
      </w:r>
      <w:r w:rsidRPr="00B7033D">
        <w:rPr>
          <w:rFonts w:ascii="Arial" w:eastAsia="Times New Roman" w:hAnsi="Arial" w:cs="Arial"/>
          <w:lang w:val="es-ES"/>
        </w:rPr>
        <w:t xml:space="preserve"> cuando </w:t>
      </w:r>
      <w:r w:rsidRPr="00B7033D">
        <w:rPr>
          <w:rFonts w:ascii="Arial" w:eastAsia="Times New Roman" w:hAnsi="Arial" w:cs="Arial"/>
          <w:highlight w:val="yellow"/>
          <w:lang w:val="es-ES"/>
        </w:rPr>
        <w:t>[país]</w:t>
      </w:r>
      <w:r w:rsidRPr="00B7033D">
        <w:rPr>
          <w:rFonts w:ascii="Arial" w:eastAsia="Times New Roman" w:hAnsi="Arial" w:cs="Arial"/>
          <w:lang w:val="es-ES"/>
        </w:rPr>
        <w:t xml:space="preserve"> adopte y cumpla un compromiso de financiamiento nacional total para el VIH, la tuberculosis, la malaria y los SSRS igual o mayor a </w:t>
      </w:r>
      <w:r w:rsidRPr="00795025">
        <w:rPr>
          <w:rFonts w:ascii="Arial" w:eastAsia="Times New Roman" w:hAnsi="Arial" w:cs="Arial"/>
          <w:highlight w:val="yellow"/>
          <w:lang w:val="es-ES"/>
        </w:rPr>
        <w:t>[</w:t>
      </w:r>
      <w:r w:rsidRPr="00B7033D">
        <w:rPr>
          <w:rFonts w:ascii="Arial" w:eastAsia="Times New Roman" w:hAnsi="Arial" w:cs="Arial"/>
          <w:highlight w:val="yellow"/>
          <w:lang w:val="es-ES"/>
        </w:rPr>
        <w:t>compromiso previsto en USD/EUR]</w:t>
      </w:r>
      <w:r w:rsidRPr="00B7033D">
        <w:rPr>
          <w:rFonts w:ascii="Arial" w:eastAsia="Times New Roman" w:hAnsi="Arial" w:cs="Arial"/>
          <w:lang w:val="es-ES"/>
        </w:rPr>
        <w:t xml:space="preserve"> durante el período de asignación 2023-2025. </w:t>
      </w:r>
    </w:p>
    <w:p w14:paraId="0A556B31" w14:textId="77777777" w:rsidR="001A1529" w:rsidRPr="00B7033D" w:rsidRDefault="001A1529" w:rsidP="00333D33">
      <w:pPr>
        <w:spacing w:line="242" w:lineRule="atLeast"/>
        <w:rPr>
          <w:rFonts w:ascii="Arial" w:eastAsia="Times New Roman" w:hAnsi="Arial" w:cs="Arial"/>
          <w:lang w:val="es-ES"/>
        </w:rPr>
      </w:pPr>
    </w:p>
    <w:p w14:paraId="0A556B32" w14:textId="77777777" w:rsidR="00494E54" w:rsidRPr="00B7033D" w:rsidRDefault="005249E6" w:rsidP="00494E54">
      <w:pPr>
        <w:spacing w:line="242" w:lineRule="atLeast"/>
        <w:rPr>
          <w:rFonts w:ascii="Arial" w:hAnsi="Arial" w:cs="Arial"/>
          <w:b/>
          <w:bCs/>
          <w:lang w:val="es-ES"/>
        </w:rPr>
      </w:pPr>
      <w:r w:rsidRPr="00B7033D">
        <w:rPr>
          <w:rFonts w:ascii="Arial" w:eastAsia="Times New Roman" w:hAnsi="Arial" w:cs="Arial"/>
          <w:lang w:val="es-ES"/>
        </w:rPr>
        <w:t xml:space="preserve">Nos comprometemos a cumplir los requisitos de financiamiento nacional por un valor total de </w:t>
      </w:r>
      <w:r w:rsidRPr="00B7033D">
        <w:rPr>
          <w:rFonts w:ascii="Arial" w:eastAsia="Times New Roman" w:hAnsi="Arial" w:cs="Arial"/>
          <w:highlight w:val="yellow"/>
          <w:lang w:val="es-ES"/>
        </w:rPr>
        <w:t>[USD/EUR]</w:t>
      </w:r>
      <w:r w:rsidRPr="00B7033D">
        <w:rPr>
          <w:rFonts w:ascii="Arial" w:eastAsia="Times New Roman" w:hAnsi="Arial" w:cs="Arial"/>
          <w:lang w:val="es-ES"/>
        </w:rPr>
        <w:t xml:space="preserve"> durante el período de asignación 2023-2025. Nuestros compromisos para cada enfermedad y los SSRS se desglosan en la siguiente tabla.</w:t>
      </w:r>
    </w:p>
    <w:p w14:paraId="0A556B33" w14:textId="77777777" w:rsidR="00494E54" w:rsidRPr="00B7033D" w:rsidRDefault="00494E54" w:rsidP="00494E54">
      <w:pPr>
        <w:spacing w:line="242" w:lineRule="atLeast"/>
        <w:rPr>
          <w:rFonts w:ascii="Arial" w:hAnsi="Arial" w:cs="Arial"/>
          <w:b/>
          <w:bCs/>
          <w:lang w:val="es-ES"/>
        </w:rPr>
      </w:pPr>
    </w:p>
    <w:p w14:paraId="0A556B34" w14:textId="77777777" w:rsidR="67455422" w:rsidRPr="00B7033D" w:rsidRDefault="67455422" w:rsidP="00494E54">
      <w:pPr>
        <w:spacing w:line="242" w:lineRule="atLeast"/>
        <w:rPr>
          <w:rFonts w:ascii="Arial" w:eastAsia="Times New Roman" w:hAnsi="Arial" w:cs="Arial"/>
          <w:lang w:val="es-ES"/>
        </w:rPr>
      </w:pPr>
      <w:r w:rsidRPr="00B7033D">
        <w:rPr>
          <w:rFonts w:ascii="Arial" w:hAnsi="Arial" w:cs="Arial"/>
          <w:b/>
          <w:bCs/>
          <w:lang w:val="es-ES"/>
        </w:rPr>
        <w:t>Compromisos de cofinanciamiento para el período de asignación 2023-2025</w:t>
      </w:r>
    </w:p>
    <w:p w14:paraId="0A556B35" w14:textId="77777777" w:rsidR="3E1FCAEC" w:rsidRPr="00B7033D" w:rsidRDefault="3E1FCAEC" w:rsidP="3E1FCAEC">
      <w:pPr>
        <w:rPr>
          <w:rFonts w:ascii="Arial" w:eastAsia="Arial" w:hAnsi="Arial" w:cs="Arial"/>
          <w:lang w:val="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5"/>
        <w:gridCol w:w="805"/>
        <w:gridCol w:w="805"/>
        <w:gridCol w:w="805"/>
        <w:gridCol w:w="806"/>
        <w:gridCol w:w="815"/>
        <w:gridCol w:w="815"/>
        <w:gridCol w:w="815"/>
        <w:gridCol w:w="815"/>
        <w:gridCol w:w="1488"/>
        <w:gridCol w:w="1489"/>
      </w:tblGrid>
      <w:tr w:rsidR="00E233CA" w:rsidRPr="008E5C32" w14:paraId="0A556B3D" w14:textId="77777777" w:rsidTr="00C97F50">
        <w:trPr>
          <w:trHeight w:val="315"/>
        </w:trPr>
        <w:tc>
          <w:tcPr>
            <w:tcW w:w="885" w:type="dxa"/>
            <w:vMerge w:val="restart"/>
            <w:shd w:val="clear" w:color="auto" w:fill="D9E2F3" w:themeFill="accent5" w:themeFillTint="33"/>
            <w:vAlign w:val="center"/>
          </w:tcPr>
          <w:p w14:paraId="0A556B36" w14:textId="77777777" w:rsidR="00E233CA" w:rsidRPr="00B7033D" w:rsidRDefault="00E233CA" w:rsidP="3E1FCAEC">
            <w:pPr>
              <w:rPr>
                <w:rFonts w:ascii="Arial" w:eastAsia="Arial" w:hAnsi="Arial" w:cs="Arial"/>
                <w:b/>
                <w:bCs/>
                <w:sz w:val="18"/>
                <w:szCs w:val="18"/>
                <w:lang w:val="es-ES"/>
              </w:rPr>
            </w:pPr>
            <w:r w:rsidRPr="00B7033D">
              <w:rPr>
                <w:rFonts w:ascii="Arial" w:eastAsia="Arial" w:hAnsi="Arial" w:cs="Arial"/>
                <w:b/>
                <w:bCs/>
                <w:sz w:val="18"/>
                <w:szCs w:val="18"/>
                <w:lang w:val="es-ES"/>
              </w:rPr>
              <w:t xml:space="preserve"> </w:t>
            </w:r>
          </w:p>
          <w:p w14:paraId="0A556B37" w14:textId="77777777" w:rsidR="00E233CA" w:rsidRPr="00B7033D" w:rsidRDefault="00E233CA" w:rsidP="006A4082">
            <w:pPr>
              <w:rPr>
                <w:rFonts w:ascii="Arial" w:eastAsia="Arial" w:hAnsi="Arial" w:cs="Arial"/>
                <w:b/>
                <w:bCs/>
                <w:sz w:val="18"/>
                <w:szCs w:val="18"/>
                <w:lang w:val="es-ES"/>
              </w:rPr>
            </w:pPr>
            <w:r w:rsidRPr="00B7033D">
              <w:rPr>
                <w:rFonts w:ascii="Arial" w:eastAsia="Arial" w:hAnsi="Arial" w:cs="Arial"/>
                <w:color w:val="000000" w:themeColor="text1"/>
                <w:sz w:val="18"/>
                <w:szCs w:val="18"/>
                <w:lang w:val="es-ES"/>
              </w:rPr>
              <w:t xml:space="preserve"> </w:t>
            </w:r>
          </w:p>
        </w:tc>
        <w:tc>
          <w:tcPr>
            <w:tcW w:w="3221" w:type="dxa"/>
            <w:gridSpan w:val="4"/>
            <w:shd w:val="clear" w:color="auto" w:fill="D9E2F3" w:themeFill="accent5" w:themeFillTint="33"/>
            <w:vAlign w:val="center"/>
          </w:tcPr>
          <w:p w14:paraId="0A556B38" w14:textId="77777777" w:rsidR="00E233CA" w:rsidRPr="00B7033D" w:rsidRDefault="00E233CA" w:rsidP="006A4082">
            <w:pPr>
              <w:jc w:val="center"/>
              <w:rPr>
                <w:rFonts w:ascii="Arial" w:eastAsia="Arial" w:hAnsi="Arial" w:cs="Arial"/>
                <w:b/>
                <w:bCs/>
                <w:color w:val="000000" w:themeColor="text1"/>
                <w:sz w:val="18"/>
                <w:szCs w:val="18"/>
                <w:lang w:val="es-ES"/>
              </w:rPr>
            </w:pPr>
            <w:r w:rsidRPr="00B7033D">
              <w:rPr>
                <w:rFonts w:ascii="Arial" w:hAnsi="Arial" w:cs="Arial"/>
                <w:b/>
                <w:bCs/>
                <w:color w:val="000000" w:themeColor="text1"/>
                <w:sz w:val="18"/>
                <w:szCs w:val="18"/>
                <w:lang w:val="es-ES"/>
              </w:rPr>
              <w:t xml:space="preserve">Período de asignación 2020-2022 </w:t>
            </w:r>
            <w:r w:rsidRPr="00B7033D">
              <w:rPr>
                <w:rFonts w:ascii="Arial" w:hAnsi="Arial" w:cs="Arial"/>
                <w:b/>
                <w:bCs/>
                <w:sz w:val="18"/>
                <w:szCs w:val="18"/>
                <w:highlight w:val="yellow"/>
                <w:lang w:val="es-ES"/>
              </w:rPr>
              <w:t>(USD/EUR)</w:t>
            </w:r>
          </w:p>
        </w:tc>
        <w:tc>
          <w:tcPr>
            <w:tcW w:w="3260" w:type="dxa"/>
            <w:gridSpan w:val="4"/>
            <w:shd w:val="clear" w:color="auto" w:fill="D9E2F3" w:themeFill="accent5" w:themeFillTint="33"/>
            <w:vAlign w:val="center"/>
          </w:tcPr>
          <w:p w14:paraId="0A556B39" w14:textId="77777777" w:rsidR="00E233CA" w:rsidRPr="00B7033D" w:rsidRDefault="00E233CA" w:rsidP="3E1FCAEC">
            <w:pPr>
              <w:jc w:val="center"/>
              <w:rPr>
                <w:rFonts w:ascii="Arial" w:eastAsia="Arial" w:hAnsi="Arial" w:cs="Arial"/>
                <w:b/>
                <w:bCs/>
                <w:color w:val="000000" w:themeColor="text1"/>
                <w:sz w:val="18"/>
                <w:szCs w:val="18"/>
                <w:lang w:val="es-ES"/>
              </w:rPr>
            </w:pPr>
            <w:r w:rsidRPr="00B7033D">
              <w:rPr>
                <w:rFonts w:ascii="Arial" w:hAnsi="Arial" w:cs="Arial"/>
                <w:b/>
                <w:bCs/>
                <w:color w:val="000000" w:themeColor="text1"/>
                <w:sz w:val="18"/>
                <w:szCs w:val="18"/>
                <w:lang w:val="es-ES"/>
              </w:rPr>
              <w:t xml:space="preserve">Período de asignación 2023-2025 </w:t>
            </w:r>
            <w:r w:rsidRPr="00B7033D">
              <w:rPr>
                <w:rFonts w:ascii="Arial" w:hAnsi="Arial" w:cs="Arial"/>
                <w:b/>
                <w:bCs/>
                <w:sz w:val="18"/>
                <w:szCs w:val="18"/>
                <w:highlight w:val="yellow"/>
                <w:lang w:val="es-ES"/>
              </w:rPr>
              <w:t>(USD/EUR)</w:t>
            </w:r>
          </w:p>
        </w:tc>
        <w:tc>
          <w:tcPr>
            <w:tcW w:w="1488" w:type="dxa"/>
            <w:vMerge w:val="restart"/>
            <w:shd w:val="clear" w:color="auto" w:fill="D9E2F3" w:themeFill="accent5" w:themeFillTint="33"/>
            <w:vAlign w:val="center"/>
          </w:tcPr>
          <w:p w14:paraId="0A556B3A" w14:textId="77777777" w:rsidR="00E233CA" w:rsidRPr="00B7033D" w:rsidRDefault="00865E8A" w:rsidP="00426EB6">
            <w:pPr>
              <w:jc w:val="center"/>
              <w:rPr>
                <w:rFonts w:ascii="Arial" w:eastAsia="Arial" w:hAnsi="Arial" w:cs="Arial"/>
                <w:b/>
                <w:bCs/>
                <w:color w:val="000000" w:themeColor="text1"/>
                <w:sz w:val="18"/>
                <w:szCs w:val="18"/>
                <w:lang w:val="es-ES"/>
              </w:rPr>
            </w:pPr>
            <w:r w:rsidRPr="00B7033D">
              <w:rPr>
                <w:rFonts w:ascii="Arial" w:eastAsia="Arial" w:hAnsi="Arial" w:cs="Arial"/>
                <w:b/>
                <w:bCs/>
                <w:color w:val="000000" w:themeColor="text1"/>
                <w:sz w:val="18"/>
                <w:szCs w:val="18"/>
                <w:lang w:val="es-ES"/>
              </w:rPr>
              <w:t xml:space="preserve">Monto adicional (diferencia en totales) </w:t>
            </w:r>
          </w:p>
          <w:p w14:paraId="0A556B3B" w14:textId="77777777" w:rsidR="00E233CA" w:rsidRPr="00B7033D" w:rsidRDefault="00E233CA" w:rsidP="00426EB6">
            <w:pPr>
              <w:jc w:val="center"/>
              <w:rPr>
                <w:rFonts w:ascii="Arial" w:eastAsia="Arial" w:hAnsi="Arial" w:cs="Arial"/>
                <w:b/>
                <w:bCs/>
                <w:color w:val="000000" w:themeColor="text1"/>
                <w:sz w:val="18"/>
                <w:szCs w:val="18"/>
                <w:lang w:val="es-ES"/>
              </w:rPr>
            </w:pPr>
            <w:r w:rsidRPr="00B7033D">
              <w:rPr>
                <w:rFonts w:ascii="Arial" w:eastAsia="Times New Roman" w:hAnsi="Arial" w:cs="Arial"/>
                <w:b/>
                <w:bCs/>
                <w:sz w:val="18"/>
                <w:szCs w:val="18"/>
                <w:highlight w:val="yellow"/>
                <w:lang w:val="es-ES"/>
              </w:rPr>
              <w:t>(USD/EUR)</w:t>
            </w:r>
          </w:p>
        </w:tc>
        <w:tc>
          <w:tcPr>
            <w:tcW w:w="1489" w:type="dxa"/>
            <w:vMerge w:val="restart"/>
            <w:shd w:val="clear" w:color="auto" w:fill="D9E2F3" w:themeFill="accent5" w:themeFillTint="33"/>
            <w:vAlign w:val="center"/>
          </w:tcPr>
          <w:p w14:paraId="0A556B3C" w14:textId="77777777" w:rsidR="00E233CA" w:rsidRPr="00B7033D" w:rsidRDefault="00E233CA" w:rsidP="00C97F50">
            <w:pPr>
              <w:jc w:val="center"/>
              <w:rPr>
                <w:rFonts w:ascii="Arial" w:eastAsia="Times New Roman" w:hAnsi="Arial" w:cs="Arial"/>
                <w:b/>
                <w:sz w:val="18"/>
                <w:szCs w:val="18"/>
                <w:lang w:val="es-ES"/>
              </w:rPr>
            </w:pPr>
            <w:r w:rsidRPr="00B7033D">
              <w:rPr>
                <w:rFonts w:ascii="Arial" w:eastAsia="Times New Roman" w:hAnsi="Arial" w:cs="Arial"/>
                <w:b/>
                <w:bCs/>
                <w:sz w:val="18"/>
                <w:szCs w:val="18"/>
                <w:lang w:val="es-ES"/>
              </w:rPr>
              <w:t>Fuente de datos para el monitoreo y la verificación</w:t>
            </w:r>
          </w:p>
        </w:tc>
      </w:tr>
      <w:tr w:rsidR="00E233CA" w:rsidRPr="00B7033D" w14:paraId="0A556B49" w14:textId="77777777" w:rsidTr="000C2F23">
        <w:trPr>
          <w:trHeight w:val="315"/>
        </w:trPr>
        <w:tc>
          <w:tcPr>
            <w:tcW w:w="885" w:type="dxa"/>
            <w:vMerge/>
            <w:shd w:val="clear" w:color="auto" w:fill="D9E2F3" w:themeFill="accent5" w:themeFillTint="33"/>
            <w:vAlign w:val="center"/>
          </w:tcPr>
          <w:p w14:paraId="0A556B3E" w14:textId="77777777" w:rsidR="00E233CA" w:rsidRPr="00B7033D" w:rsidRDefault="00E233CA" w:rsidP="006A4082">
            <w:pPr>
              <w:rPr>
                <w:rFonts w:ascii="Arial" w:eastAsia="Arial" w:hAnsi="Arial" w:cs="Arial"/>
                <w:color w:val="000000" w:themeColor="text1"/>
                <w:sz w:val="18"/>
                <w:szCs w:val="18"/>
                <w:lang w:val="es-ES"/>
              </w:rPr>
            </w:pPr>
          </w:p>
        </w:tc>
        <w:tc>
          <w:tcPr>
            <w:tcW w:w="805" w:type="dxa"/>
            <w:shd w:val="clear" w:color="auto" w:fill="D9E2F3" w:themeFill="accent5" w:themeFillTint="33"/>
            <w:vAlign w:val="center"/>
          </w:tcPr>
          <w:p w14:paraId="0A556B3F" w14:textId="77777777" w:rsidR="00E233CA" w:rsidRPr="00B7033D" w:rsidRDefault="00E86242" w:rsidP="006A4082">
            <w:pPr>
              <w:rPr>
                <w:rFonts w:ascii="Arial" w:eastAsia="Arial" w:hAnsi="Arial" w:cs="Arial"/>
                <w:color w:val="000000" w:themeColor="text1"/>
                <w:sz w:val="18"/>
                <w:szCs w:val="18"/>
                <w:lang w:val="es-ES"/>
              </w:rPr>
            </w:pPr>
            <w:r w:rsidRPr="00B7033D">
              <w:rPr>
                <w:rFonts w:ascii="Arial" w:eastAsia="Arial" w:hAnsi="Arial" w:cs="Arial"/>
                <w:b/>
                <w:bCs/>
                <w:color w:val="000000" w:themeColor="text1"/>
                <w:sz w:val="18"/>
                <w:szCs w:val="18"/>
                <w:lang w:val="es-ES"/>
              </w:rPr>
              <w:t>Mes-Año 1</w:t>
            </w:r>
          </w:p>
        </w:tc>
        <w:tc>
          <w:tcPr>
            <w:tcW w:w="805" w:type="dxa"/>
            <w:shd w:val="clear" w:color="auto" w:fill="D9E2F3" w:themeFill="accent5" w:themeFillTint="33"/>
            <w:vAlign w:val="center"/>
          </w:tcPr>
          <w:p w14:paraId="0A556B40" w14:textId="77777777" w:rsidR="00E233CA" w:rsidRPr="00B7033D" w:rsidRDefault="00E86242" w:rsidP="006A4082">
            <w:pPr>
              <w:rPr>
                <w:rFonts w:ascii="Arial" w:eastAsia="Arial" w:hAnsi="Arial" w:cs="Arial"/>
                <w:color w:val="000000" w:themeColor="text1"/>
                <w:sz w:val="18"/>
                <w:szCs w:val="18"/>
                <w:lang w:val="es-ES"/>
              </w:rPr>
            </w:pPr>
            <w:r w:rsidRPr="00B7033D">
              <w:rPr>
                <w:rFonts w:ascii="Arial" w:eastAsia="Arial" w:hAnsi="Arial" w:cs="Arial"/>
                <w:b/>
                <w:bCs/>
                <w:color w:val="000000" w:themeColor="text1"/>
                <w:sz w:val="18"/>
                <w:szCs w:val="18"/>
                <w:lang w:val="es-ES"/>
              </w:rPr>
              <w:t>Mes-Año 2</w:t>
            </w:r>
          </w:p>
        </w:tc>
        <w:tc>
          <w:tcPr>
            <w:tcW w:w="805" w:type="dxa"/>
            <w:shd w:val="clear" w:color="auto" w:fill="D9E2F3" w:themeFill="accent5" w:themeFillTint="33"/>
            <w:vAlign w:val="center"/>
          </w:tcPr>
          <w:p w14:paraId="0A556B41" w14:textId="77777777" w:rsidR="00E233CA" w:rsidRPr="00B7033D" w:rsidRDefault="00E86242" w:rsidP="006A4082">
            <w:pPr>
              <w:rPr>
                <w:rFonts w:ascii="Arial" w:eastAsia="Arial" w:hAnsi="Arial" w:cs="Arial"/>
                <w:color w:val="000000" w:themeColor="text1"/>
                <w:sz w:val="18"/>
                <w:szCs w:val="18"/>
                <w:lang w:val="es-ES"/>
              </w:rPr>
            </w:pPr>
            <w:r w:rsidRPr="00B7033D">
              <w:rPr>
                <w:rFonts w:ascii="Arial" w:eastAsia="Arial" w:hAnsi="Arial" w:cs="Arial"/>
                <w:b/>
                <w:bCs/>
                <w:color w:val="000000" w:themeColor="text1"/>
                <w:sz w:val="18"/>
                <w:szCs w:val="18"/>
                <w:lang w:val="es-ES"/>
              </w:rPr>
              <w:t>Mes-Año 3</w:t>
            </w:r>
          </w:p>
        </w:tc>
        <w:tc>
          <w:tcPr>
            <w:tcW w:w="806" w:type="dxa"/>
            <w:vMerge w:val="restart"/>
            <w:shd w:val="clear" w:color="auto" w:fill="D9E2F3" w:themeFill="accent5" w:themeFillTint="33"/>
            <w:vAlign w:val="center"/>
          </w:tcPr>
          <w:p w14:paraId="0A556B42" w14:textId="77777777" w:rsidR="00E233CA" w:rsidRPr="00B7033D" w:rsidRDefault="00E233CA" w:rsidP="006A4082">
            <w:pPr>
              <w:rPr>
                <w:rFonts w:ascii="Arial" w:eastAsia="Arial" w:hAnsi="Arial" w:cs="Arial"/>
                <w:sz w:val="18"/>
                <w:szCs w:val="18"/>
                <w:lang w:val="es-ES"/>
              </w:rPr>
            </w:pPr>
            <w:r w:rsidRPr="00B7033D">
              <w:rPr>
                <w:rFonts w:ascii="Arial" w:eastAsia="Arial" w:hAnsi="Arial" w:cs="Arial"/>
                <w:b/>
                <w:bCs/>
                <w:color w:val="000000" w:themeColor="text1"/>
                <w:sz w:val="18"/>
                <w:szCs w:val="18"/>
                <w:lang w:val="es-ES"/>
              </w:rPr>
              <w:t>Total</w:t>
            </w:r>
          </w:p>
        </w:tc>
        <w:tc>
          <w:tcPr>
            <w:tcW w:w="815" w:type="dxa"/>
            <w:shd w:val="clear" w:color="auto" w:fill="D9E2F3" w:themeFill="accent5" w:themeFillTint="33"/>
            <w:vAlign w:val="center"/>
          </w:tcPr>
          <w:p w14:paraId="0A556B43" w14:textId="77777777" w:rsidR="00E233CA" w:rsidRPr="00B7033D" w:rsidRDefault="00E86242" w:rsidP="006A4082">
            <w:pPr>
              <w:rPr>
                <w:rFonts w:ascii="Arial" w:eastAsia="Arial" w:hAnsi="Arial" w:cs="Arial"/>
                <w:color w:val="000000" w:themeColor="text1"/>
                <w:sz w:val="18"/>
                <w:szCs w:val="18"/>
                <w:lang w:val="es-ES"/>
              </w:rPr>
            </w:pPr>
            <w:r w:rsidRPr="00B7033D">
              <w:rPr>
                <w:rFonts w:ascii="Arial" w:eastAsia="Arial" w:hAnsi="Arial" w:cs="Arial"/>
                <w:b/>
                <w:bCs/>
                <w:color w:val="000000" w:themeColor="text1"/>
                <w:sz w:val="18"/>
                <w:szCs w:val="18"/>
                <w:lang w:val="es-ES"/>
              </w:rPr>
              <w:t>Mes-Año 1</w:t>
            </w:r>
          </w:p>
        </w:tc>
        <w:tc>
          <w:tcPr>
            <w:tcW w:w="815" w:type="dxa"/>
            <w:shd w:val="clear" w:color="auto" w:fill="D9E2F3" w:themeFill="accent5" w:themeFillTint="33"/>
            <w:vAlign w:val="center"/>
          </w:tcPr>
          <w:p w14:paraId="0A556B44" w14:textId="77777777" w:rsidR="00E233CA" w:rsidRPr="00B7033D" w:rsidRDefault="00E86242" w:rsidP="006A4082">
            <w:pPr>
              <w:rPr>
                <w:rFonts w:ascii="Arial" w:eastAsia="Arial" w:hAnsi="Arial" w:cs="Arial"/>
                <w:color w:val="000000" w:themeColor="text1"/>
                <w:sz w:val="18"/>
                <w:szCs w:val="18"/>
                <w:lang w:val="es-ES"/>
              </w:rPr>
            </w:pPr>
            <w:r w:rsidRPr="00B7033D">
              <w:rPr>
                <w:rFonts w:ascii="Arial" w:eastAsia="Arial" w:hAnsi="Arial" w:cs="Arial"/>
                <w:b/>
                <w:bCs/>
                <w:color w:val="000000" w:themeColor="text1"/>
                <w:sz w:val="18"/>
                <w:szCs w:val="18"/>
                <w:lang w:val="es-ES"/>
              </w:rPr>
              <w:t>Mes-Año 2</w:t>
            </w:r>
          </w:p>
        </w:tc>
        <w:tc>
          <w:tcPr>
            <w:tcW w:w="815" w:type="dxa"/>
            <w:shd w:val="clear" w:color="auto" w:fill="D9E2F3" w:themeFill="accent5" w:themeFillTint="33"/>
            <w:vAlign w:val="center"/>
          </w:tcPr>
          <w:p w14:paraId="0A556B45" w14:textId="77777777" w:rsidR="00E233CA" w:rsidRPr="00B7033D" w:rsidRDefault="00E86242" w:rsidP="006A4082">
            <w:pPr>
              <w:rPr>
                <w:rFonts w:ascii="Arial" w:eastAsia="Arial" w:hAnsi="Arial" w:cs="Arial"/>
                <w:color w:val="000000" w:themeColor="text1"/>
                <w:sz w:val="18"/>
                <w:szCs w:val="18"/>
                <w:lang w:val="es-ES"/>
              </w:rPr>
            </w:pPr>
            <w:r w:rsidRPr="00B7033D">
              <w:rPr>
                <w:rFonts w:ascii="Arial" w:eastAsia="Arial" w:hAnsi="Arial" w:cs="Arial"/>
                <w:b/>
                <w:bCs/>
                <w:color w:val="000000" w:themeColor="text1"/>
                <w:sz w:val="18"/>
                <w:szCs w:val="18"/>
                <w:lang w:val="es-ES"/>
              </w:rPr>
              <w:t>Mes-Año 3</w:t>
            </w:r>
          </w:p>
        </w:tc>
        <w:tc>
          <w:tcPr>
            <w:tcW w:w="815" w:type="dxa"/>
            <w:vMerge w:val="restart"/>
            <w:shd w:val="clear" w:color="auto" w:fill="D9E2F3" w:themeFill="accent5" w:themeFillTint="33"/>
            <w:vAlign w:val="center"/>
          </w:tcPr>
          <w:p w14:paraId="0A556B46" w14:textId="77777777" w:rsidR="00E233CA" w:rsidRPr="00B7033D" w:rsidRDefault="00E233CA" w:rsidP="006A4082">
            <w:pPr>
              <w:rPr>
                <w:rFonts w:ascii="Arial" w:hAnsi="Arial" w:cs="Arial"/>
                <w:sz w:val="18"/>
                <w:szCs w:val="18"/>
                <w:lang w:val="es-ES"/>
              </w:rPr>
            </w:pPr>
            <w:r w:rsidRPr="00B7033D">
              <w:rPr>
                <w:rFonts w:ascii="Arial" w:eastAsia="Arial" w:hAnsi="Arial" w:cs="Arial"/>
                <w:b/>
                <w:bCs/>
                <w:color w:val="000000" w:themeColor="text1"/>
                <w:sz w:val="18"/>
                <w:szCs w:val="18"/>
                <w:lang w:val="es-ES"/>
              </w:rPr>
              <w:t>Total</w:t>
            </w:r>
          </w:p>
        </w:tc>
        <w:tc>
          <w:tcPr>
            <w:tcW w:w="1488" w:type="dxa"/>
            <w:vMerge/>
            <w:vAlign w:val="center"/>
          </w:tcPr>
          <w:p w14:paraId="0A556B47" w14:textId="77777777" w:rsidR="00E233CA" w:rsidRPr="00B7033D" w:rsidRDefault="00E233CA" w:rsidP="006A4082">
            <w:pPr>
              <w:rPr>
                <w:rFonts w:ascii="Arial" w:hAnsi="Arial" w:cs="Arial"/>
                <w:sz w:val="18"/>
                <w:szCs w:val="18"/>
                <w:lang w:val="es-ES"/>
              </w:rPr>
            </w:pPr>
          </w:p>
        </w:tc>
        <w:tc>
          <w:tcPr>
            <w:tcW w:w="1489" w:type="dxa"/>
            <w:vMerge/>
          </w:tcPr>
          <w:p w14:paraId="0A556B48" w14:textId="77777777" w:rsidR="00E233CA" w:rsidRPr="00B7033D" w:rsidRDefault="00E233CA" w:rsidP="006A4082">
            <w:pPr>
              <w:rPr>
                <w:rFonts w:ascii="Arial" w:hAnsi="Arial" w:cs="Arial"/>
                <w:sz w:val="18"/>
                <w:szCs w:val="18"/>
                <w:lang w:val="es-ES"/>
              </w:rPr>
            </w:pPr>
          </w:p>
        </w:tc>
      </w:tr>
      <w:tr w:rsidR="00E233CA" w:rsidRPr="00B7033D" w14:paraId="0A556B55" w14:textId="77777777" w:rsidTr="000C2F23">
        <w:trPr>
          <w:trHeight w:val="315"/>
        </w:trPr>
        <w:tc>
          <w:tcPr>
            <w:tcW w:w="885" w:type="dxa"/>
            <w:vMerge/>
            <w:shd w:val="clear" w:color="auto" w:fill="D9E2F3" w:themeFill="accent5" w:themeFillTint="33"/>
            <w:vAlign w:val="center"/>
          </w:tcPr>
          <w:p w14:paraId="0A556B4A" w14:textId="77777777" w:rsidR="00E233CA" w:rsidRPr="00B7033D" w:rsidRDefault="00E233CA" w:rsidP="006A4082">
            <w:pPr>
              <w:rPr>
                <w:rFonts w:ascii="Arial" w:eastAsia="Arial" w:hAnsi="Arial" w:cs="Arial"/>
                <w:color w:val="000000" w:themeColor="text1"/>
                <w:sz w:val="18"/>
                <w:szCs w:val="18"/>
                <w:lang w:val="es-ES"/>
              </w:rPr>
            </w:pPr>
          </w:p>
        </w:tc>
        <w:tc>
          <w:tcPr>
            <w:tcW w:w="805" w:type="dxa"/>
            <w:shd w:val="clear" w:color="auto" w:fill="D9E2F3" w:themeFill="accent5" w:themeFillTint="33"/>
            <w:vAlign w:val="center"/>
          </w:tcPr>
          <w:p w14:paraId="0A556B4B" w14:textId="77777777" w:rsidR="00E233CA" w:rsidRPr="00B7033D" w:rsidRDefault="00E233CA" w:rsidP="006A4082">
            <w:pPr>
              <w:rPr>
                <w:rFonts w:ascii="Arial" w:eastAsia="Arial" w:hAnsi="Arial" w:cs="Arial"/>
                <w:color w:val="000000" w:themeColor="text1"/>
                <w:sz w:val="18"/>
                <w:szCs w:val="18"/>
                <w:lang w:val="es-ES"/>
              </w:rPr>
            </w:pPr>
            <w:r w:rsidRPr="00B7033D">
              <w:rPr>
                <w:rFonts w:ascii="Arial" w:eastAsia="Arial" w:hAnsi="Arial" w:cs="Arial"/>
                <w:color w:val="000000" w:themeColor="text1"/>
                <w:sz w:val="18"/>
                <w:szCs w:val="18"/>
                <w:lang w:val="es-ES"/>
              </w:rPr>
              <w:t>Real</w:t>
            </w:r>
          </w:p>
        </w:tc>
        <w:tc>
          <w:tcPr>
            <w:tcW w:w="805" w:type="dxa"/>
            <w:shd w:val="clear" w:color="auto" w:fill="D9E2F3" w:themeFill="accent5" w:themeFillTint="33"/>
            <w:vAlign w:val="center"/>
          </w:tcPr>
          <w:p w14:paraId="0A556B4C" w14:textId="77777777" w:rsidR="00E233CA" w:rsidRPr="00B7033D" w:rsidRDefault="00E233CA" w:rsidP="006A4082">
            <w:pPr>
              <w:rPr>
                <w:rFonts w:ascii="Arial" w:eastAsia="Arial" w:hAnsi="Arial" w:cs="Arial"/>
                <w:color w:val="000000" w:themeColor="text1"/>
                <w:sz w:val="18"/>
                <w:szCs w:val="18"/>
                <w:lang w:val="es-ES"/>
              </w:rPr>
            </w:pPr>
            <w:r w:rsidRPr="00B7033D">
              <w:rPr>
                <w:rFonts w:ascii="Arial" w:eastAsia="Arial" w:hAnsi="Arial" w:cs="Arial"/>
                <w:color w:val="000000" w:themeColor="text1"/>
                <w:sz w:val="18"/>
                <w:szCs w:val="18"/>
                <w:lang w:val="es-ES"/>
              </w:rPr>
              <w:t>Provisional</w:t>
            </w:r>
          </w:p>
        </w:tc>
        <w:tc>
          <w:tcPr>
            <w:tcW w:w="805" w:type="dxa"/>
            <w:shd w:val="clear" w:color="auto" w:fill="D9E2F3" w:themeFill="accent5" w:themeFillTint="33"/>
            <w:vAlign w:val="center"/>
          </w:tcPr>
          <w:p w14:paraId="0A556B4D" w14:textId="77777777" w:rsidR="00E233CA" w:rsidRPr="00B7033D" w:rsidRDefault="00E233CA" w:rsidP="006A4082">
            <w:pPr>
              <w:rPr>
                <w:rFonts w:ascii="Arial" w:eastAsia="Arial" w:hAnsi="Arial" w:cs="Arial"/>
                <w:color w:val="000000" w:themeColor="text1"/>
                <w:sz w:val="18"/>
                <w:szCs w:val="18"/>
                <w:lang w:val="es-ES"/>
              </w:rPr>
            </w:pPr>
            <w:r w:rsidRPr="00B7033D">
              <w:rPr>
                <w:rFonts w:ascii="Arial" w:eastAsia="Arial" w:hAnsi="Arial" w:cs="Arial"/>
                <w:color w:val="000000" w:themeColor="text1"/>
                <w:sz w:val="18"/>
                <w:szCs w:val="18"/>
                <w:lang w:val="es-ES"/>
              </w:rPr>
              <w:t xml:space="preserve"> Presupuesto</w:t>
            </w:r>
          </w:p>
        </w:tc>
        <w:tc>
          <w:tcPr>
            <w:tcW w:w="806" w:type="dxa"/>
            <w:vMerge/>
            <w:shd w:val="clear" w:color="auto" w:fill="D9E2F3" w:themeFill="accent5" w:themeFillTint="33"/>
            <w:vAlign w:val="center"/>
          </w:tcPr>
          <w:p w14:paraId="0A556B4E" w14:textId="77777777" w:rsidR="00E233CA" w:rsidRPr="00B7033D" w:rsidRDefault="00E233CA" w:rsidP="006A4082">
            <w:pPr>
              <w:rPr>
                <w:rFonts w:ascii="Arial" w:eastAsia="Arial" w:hAnsi="Arial" w:cs="Arial"/>
                <w:b/>
                <w:bCs/>
                <w:color w:val="000000" w:themeColor="text1"/>
                <w:sz w:val="18"/>
                <w:szCs w:val="18"/>
                <w:lang w:val="es-ES"/>
              </w:rPr>
            </w:pPr>
          </w:p>
        </w:tc>
        <w:tc>
          <w:tcPr>
            <w:tcW w:w="815" w:type="dxa"/>
            <w:shd w:val="clear" w:color="auto" w:fill="D9E2F3" w:themeFill="accent5" w:themeFillTint="33"/>
            <w:vAlign w:val="center"/>
          </w:tcPr>
          <w:p w14:paraId="0A556B4F" w14:textId="77777777" w:rsidR="00E233CA" w:rsidRPr="00B7033D" w:rsidRDefault="00E233CA" w:rsidP="006A4082">
            <w:pPr>
              <w:rPr>
                <w:rFonts w:ascii="Arial" w:eastAsia="Arial" w:hAnsi="Arial" w:cs="Arial"/>
                <w:color w:val="000000" w:themeColor="text1"/>
                <w:sz w:val="18"/>
                <w:szCs w:val="18"/>
                <w:lang w:val="es-ES"/>
              </w:rPr>
            </w:pPr>
            <w:r w:rsidRPr="00B7033D">
              <w:rPr>
                <w:rFonts w:ascii="Arial" w:eastAsia="Arial" w:hAnsi="Arial" w:cs="Arial"/>
                <w:color w:val="000000" w:themeColor="text1"/>
                <w:sz w:val="18"/>
                <w:szCs w:val="18"/>
                <w:lang w:val="es-ES"/>
              </w:rPr>
              <w:t>Presupuesto</w:t>
            </w:r>
          </w:p>
        </w:tc>
        <w:tc>
          <w:tcPr>
            <w:tcW w:w="815" w:type="dxa"/>
            <w:shd w:val="clear" w:color="auto" w:fill="D9E2F3" w:themeFill="accent5" w:themeFillTint="33"/>
            <w:vAlign w:val="center"/>
          </w:tcPr>
          <w:p w14:paraId="0A556B50" w14:textId="77777777" w:rsidR="00E233CA" w:rsidRPr="00B7033D" w:rsidRDefault="00E233CA" w:rsidP="006A4082">
            <w:pPr>
              <w:rPr>
                <w:rFonts w:ascii="Arial" w:eastAsia="Arial" w:hAnsi="Arial" w:cs="Arial"/>
                <w:color w:val="000000" w:themeColor="text1"/>
                <w:sz w:val="18"/>
                <w:szCs w:val="18"/>
                <w:lang w:val="es-ES"/>
              </w:rPr>
            </w:pPr>
            <w:r w:rsidRPr="00B7033D">
              <w:rPr>
                <w:rFonts w:ascii="Arial" w:eastAsia="Arial" w:hAnsi="Arial" w:cs="Arial"/>
                <w:color w:val="000000" w:themeColor="text1"/>
                <w:sz w:val="18"/>
                <w:szCs w:val="18"/>
                <w:lang w:val="es-ES"/>
              </w:rPr>
              <w:t>Presupuesto</w:t>
            </w:r>
          </w:p>
        </w:tc>
        <w:tc>
          <w:tcPr>
            <w:tcW w:w="815" w:type="dxa"/>
            <w:shd w:val="clear" w:color="auto" w:fill="D9E2F3" w:themeFill="accent5" w:themeFillTint="33"/>
            <w:vAlign w:val="center"/>
          </w:tcPr>
          <w:p w14:paraId="0A556B51" w14:textId="77777777" w:rsidR="00E233CA" w:rsidRPr="00B7033D" w:rsidRDefault="00E233CA" w:rsidP="006A4082">
            <w:pPr>
              <w:rPr>
                <w:rFonts w:ascii="Arial" w:eastAsia="Arial" w:hAnsi="Arial" w:cs="Arial"/>
                <w:color w:val="000000" w:themeColor="text1"/>
                <w:sz w:val="18"/>
                <w:szCs w:val="18"/>
                <w:lang w:val="es-ES"/>
              </w:rPr>
            </w:pPr>
            <w:r w:rsidRPr="00B7033D">
              <w:rPr>
                <w:rFonts w:ascii="Arial" w:eastAsia="Arial" w:hAnsi="Arial" w:cs="Arial"/>
                <w:color w:val="000000" w:themeColor="text1"/>
                <w:sz w:val="18"/>
                <w:szCs w:val="18"/>
                <w:lang w:val="es-ES"/>
              </w:rPr>
              <w:t>Presupuesto</w:t>
            </w:r>
          </w:p>
        </w:tc>
        <w:tc>
          <w:tcPr>
            <w:tcW w:w="815" w:type="dxa"/>
            <w:vMerge/>
            <w:shd w:val="clear" w:color="auto" w:fill="D9E2F3" w:themeFill="accent5" w:themeFillTint="33"/>
            <w:vAlign w:val="center"/>
          </w:tcPr>
          <w:p w14:paraId="0A556B52" w14:textId="77777777" w:rsidR="00E233CA" w:rsidRPr="00B7033D" w:rsidRDefault="00E233CA" w:rsidP="006A4082">
            <w:pPr>
              <w:rPr>
                <w:rFonts w:ascii="Arial" w:hAnsi="Arial" w:cs="Arial"/>
                <w:sz w:val="18"/>
                <w:szCs w:val="18"/>
                <w:lang w:val="es-ES"/>
              </w:rPr>
            </w:pPr>
          </w:p>
        </w:tc>
        <w:tc>
          <w:tcPr>
            <w:tcW w:w="1488" w:type="dxa"/>
            <w:vMerge/>
            <w:vAlign w:val="center"/>
          </w:tcPr>
          <w:p w14:paraId="0A556B53" w14:textId="77777777" w:rsidR="00E233CA" w:rsidRPr="00B7033D" w:rsidRDefault="00E233CA" w:rsidP="006A4082">
            <w:pPr>
              <w:rPr>
                <w:rFonts w:ascii="Arial" w:hAnsi="Arial" w:cs="Arial"/>
                <w:sz w:val="18"/>
                <w:szCs w:val="18"/>
                <w:lang w:val="es-ES"/>
              </w:rPr>
            </w:pPr>
          </w:p>
        </w:tc>
        <w:tc>
          <w:tcPr>
            <w:tcW w:w="1489" w:type="dxa"/>
            <w:vMerge/>
          </w:tcPr>
          <w:p w14:paraId="0A556B54" w14:textId="77777777" w:rsidR="00E233CA" w:rsidRPr="00B7033D" w:rsidRDefault="00E233CA" w:rsidP="006A4082">
            <w:pPr>
              <w:rPr>
                <w:rFonts w:ascii="Arial" w:hAnsi="Arial" w:cs="Arial"/>
                <w:sz w:val="18"/>
                <w:szCs w:val="18"/>
                <w:lang w:val="es-ES"/>
              </w:rPr>
            </w:pPr>
          </w:p>
        </w:tc>
      </w:tr>
      <w:tr w:rsidR="006D3278" w:rsidRPr="00B7033D" w14:paraId="0A556B61" w14:textId="77777777" w:rsidTr="000C2F23">
        <w:trPr>
          <w:trHeight w:val="315"/>
        </w:trPr>
        <w:tc>
          <w:tcPr>
            <w:tcW w:w="885" w:type="dxa"/>
            <w:vAlign w:val="center"/>
          </w:tcPr>
          <w:p w14:paraId="0A556B56" w14:textId="77777777" w:rsidR="006A4082" w:rsidRPr="00B7033D" w:rsidRDefault="006A4082" w:rsidP="006A4082">
            <w:pPr>
              <w:rPr>
                <w:rFonts w:ascii="Arial" w:eastAsia="Arial" w:hAnsi="Arial" w:cs="Arial"/>
                <w:sz w:val="18"/>
                <w:szCs w:val="18"/>
                <w:lang w:val="es-ES"/>
              </w:rPr>
            </w:pPr>
            <w:r w:rsidRPr="00B7033D">
              <w:rPr>
                <w:rFonts w:ascii="Arial" w:eastAsia="Arial" w:hAnsi="Arial" w:cs="Arial"/>
                <w:sz w:val="18"/>
                <w:szCs w:val="18"/>
                <w:lang w:val="es-ES"/>
              </w:rPr>
              <w:t xml:space="preserve">VIH </w:t>
            </w:r>
          </w:p>
        </w:tc>
        <w:tc>
          <w:tcPr>
            <w:tcW w:w="805" w:type="dxa"/>
            <w:vAlign w:val="center"/>
          </w:tcPr>
          <w:p w14:paraId="0A556B57"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58"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59" w14:textId="77777777" w:rsidR="006A4082" w:rsidRPr="00B7033D" w:rsidRDefault="006A4082" w:rsidP="000C2F23">
            <w:pPr>
              <w:jc w:val="center"/>
              <w:rPr>
                <w:rFonts w:ascii="Arial" w:eastAsia="Arial" w:hAnsi="Arial" w:cs="Arial"/>
                <w:sz w:val="18"/>
                <w:szCs w:val="18"/>
                <w:lang w:val="es-ES"/>
              </w:rPr>
            </w:pPr>
          </w:p>
        </w:tc>
        <w:tc>
          <w:tcPr>
            <w:tcW w:w="806" w:type="dxa"/>
            <w:vAlign w:val="center"/>
          </w:tcPr>
          <w:p w14:paraId="0A556B5A"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5B"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5C"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5D"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5E" w14:textId="77777777" w:rsidR="006A4082" w:rsidRPr="00B7033D" w:rsidRDefault="006A4082" w:rsidP="000C2F23">
            <w:pPr>
              <w:jc w:val="center"/>
              <w:rPr>
                <w:rFonts w:ascii="Arial" w:eastAsia="Arial" w:hAnsi="Arial" w:cs="Arial"/>
                <w:sz w:val="18"/>
                <w:szCs w:val="18"/>
                <w:lang w:val="es-ES"/>
              </w:rPr>
            </w:pPr>
          </w:p>
        </w:tc>
        <w:tc>
          <w:tcPr>
            <w:tcW w:w="1488" w:type="dxa"/>
            <w:vAlign w:val="center"/>
          </w:tcPr>
          <w:p w14:paraId="0A556B5F" w14:textId="77777777" w:rsidR="006A4082" w:rsidRPr="00B7033D" w:rsidRDefault="006A4082" w:rsidP="000C2F23">
            <w:pPr>
              <w:jc w:val="center"/>
              <w:rPr>
                <w:rFonts w:ascii="Arial" w:eastAsia="Arial" w:hAnsi="Arial" w:cs="Arial"/>
                <w:sz w:val="18"/>
                <w:szCs w:val="18"/>
                <w:lang w:val="es-ES"/>
              </w:rPr>
            </w:pPr>
          </w:p>
        </w:tc>
        <w:tc>
          <w:tcPr>
            <w:tcW w:w="1489" w:type="dxa"/>
            <w:vAlign w:val="center"/>
          </w:tcPr>
          <w:p w14:paraId="0A556B60" w14:textId="77777777" w:rsidR="006A4082" w:rsidRPr="00B7033D" w:rsidRDefault="006A4082" w:rsidP="000C2F23">
            <w:pPr>
              <w:rPr>
                <w:rFonts w:ascii="Arial" w:eastAsia="Arial" w:hAnsi="Arial" w:cs="Arial"/>
                <w:sz w:val="18"/>
                <w:szCs w:val="18"/>
                <w:lang w:val="es-ES"/>
              </w:rPr>
            </w:pPr>
          </w:p>
        </w:tc>
      </w:tr>
      <w:tr w:rsidR="006D3278" w:rsidRPr="00B7033D" w14:paraId="0A556B6D" w14:textId="77777777" w:rsidTr="000C2F23">
        <w:trPr>
          <w:trHeight w:val="315"/>
        </w:trPr>
        <w:tc>
          <w:tcPr>
            <w:tcW w:w="885" w:type="dxa"/>
            <w:vAlign w:val="center"/>
          </w:tcPr>
          <w:p w14:paraId="0A556B62" w14:textId="77777777" w:rsidR="006A4082" w:rsidRPr="00B7033D" w:rsidRDefault="006A4082" w:rsidP="006A4082">
            <w:pPr>
              <w:rPr>
                <w:rFonts w:ascii="Arial" w:eastAsia="Arial" w:hAnsi="Arial" w:cs="Arial"/>
                <w:sz w:val="18"/>
                <w:szCs w:val="18"/>
                <w:lang w:val="es-ES"/>
              </w:rPr>
            </w:pPr>
            <w:r w:rsidRPr="00B7033D">
              <w:rPr>
                <w:rFonts w:ascii="Arial" w:eastAsia="Arial" w:hAnsi="Arial" w:cs="Arial"/>
                <w:sz w:val="18"/>
                <w:szCs w:val="18"/>
                <w:lang w:val="es-ES"/>
              </w:rPr>
              <w:t xml:space="preserve">Tuberculosis </w:t>
            </w:r>
          </w:p>
        </w:tc>
        <w:tc>
          <w:tcPr>
            <w:tcW w:w="805" w:type="dxa"/>
            <w:vAlign w:val="center"/>
          </w:tcPr>
          <w:p w14:paraId="0A556B63"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64"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65" w14:textId="77777777" w:rsidR="006A4082" w:rsidRPr="00B7033D" w:rsidRDefault="006A4082" w:rsidP="000C2F23">
            <w:pPr>
              <w:jc w:val="center"/>
              <w:rPr>
                <w:rFonts w:ascii="Arial" w:eastAsia="Arial" w:hAnsi="Arial" w:cs="Arial"/>
                <w:sz w:val="18"/>
                <w:szCs w:val="18"/>
                <w:lang w:val="es-ES"/>
              </w:rPr>
            </w:pPr>
          </w:p>
        </w:tc>
        <w:tc>
          <w:tcPr>
            <w:tcW w:w="806" w:type="dxa"/>
            <w:vAlign w:val="center"/>
          </w:tcPr>
          <w:p w14:paraId="0A556B66"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67"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68"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69"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6A" w14:textId="77777777" w:rsidR="006A4082" w:rsidRPr="00B7033D" w:rsidRDefault="006A4082" w:rsidP="000C2F23">
            <w:pPr>
              <w:jc w:val="center"/>
              <w:rPr>
                <w:rFonts w:ascii="Arial" w:eastAsia="Arial" w:hAnsi="Arial" w:cs="Arial"/>
                <w:sz w:val="18"/>
                <w:szCs w:val="18"/>
                <w:lang w:val="es-ES"/>
              </w:rPr>
            </w:pPr>
          </w:p>
        </w:tc>
        <w:tc>
          <w:tcPr>
            <w:tcW w:w="1488" w:type="dxa"/>
            <w:vAlign w:val="center"/>
          </w:tcPr>
          <w:p w14:paraId="0A556B6B" w14:textId="77777777" w:rsidR="006A4082" w:rsidRPr="00B7033D" w:rsidRDefault="006A4082" w:rsidP="000C2F23">
            <w:pPr>
              <w:jc w:val="center"/>
              <w:rPr>
                <w:rFonts w:ascii="Arial" w:eastAsia="Arial" w:hAnsi="Arial" w:cs="Arial"/>
                <w:sz w:val="18"/>
                <w:szCs w:val="18"/>
                <w:lang w:val="es-ES"/>
              </w:rPr>
            </w:pPr>
          </w:p>
        </w:tc>
        <w:tc>
          <w:tcPr>
            <w:tcW w:w="1489" w:type="dxa"/>
            <w:vAlign w:val="center"/>
          </w:tcPr>
          <w:p w14:paraId="0A556B6C" w14:textId="77777777" w:rsidR="006A4082" w:rsidRPr="00B7033D" w:rsidRDefault="006A4082" w:rsidP="000C2F23">
            <w:pPr>
              <w:rPr>
                <w:rFonts w:ascii="Arial" w:eastAsia="Arial" w:hAnsi="Arial" w:cs="Arial"/>
                <w:sz w:val="18"/>
                <w:szCs w:val="18"/>
                <w:lang w:val="es-ES"/>
              </w:rPr>
            </w:pPr>
          </w:p>
        </w:tc>
      </w:tr>
      <w:tr w:rsidR="006D3278" w:rsidRPr="00B7033D" w14:paraId="0A556B79" w14:textId="77777777" w:rsidTr="000C2F23">
        <w:trPr>
          <w:trHeight w:val="315"/>
        </w:trPr>
        <w:tc>
          <w:tcPr>
            <w:tcW w:w="885" w:type="dxa"/>
            <w:vAlign w:val="center"/>
          </w:tcPr>
          <w:p w14:paraId="0A556B6E" w14:textId="77777777" w:rsidR="006A4082" w:rsidRPr="00B7033D" w:rsidRDefault="006A4082" w:rsidP="006A4082">
            <w:pPr>
              <w:rPr>
                <w:rFonts w:ascii="Arial" w:eastAsia="Arial" w:hAnsi="Arial" w:cs="Arial"/>
                <w:sz w:val="18"/>
                <w:szCs w:val="18"/>
                <w:lang w:val="es-ES"/>
              </w:rPr>
            </w:pPr>
            <w:r w:rsidRPr="00B7033D">
              <w:rPr>
                <w:rFonts w:ascii="Arial" w:eastAsia="Arial" w:hAnsi="Arial" w:cs="Arial"/>
                <w:sz w:val="18"/>
                <w:szCs w:val="18"/>
                <w:lang w:val="es-ES"/>
              </w:rPr>
              <w:t xml:space="preserve">Malaria </w:t>
            </w:r>
          </w:p>
        </w:tc>
        <w:tc>
          <w:tcPr>
            <w:tcW w:w="805" w:type="dxa"/>
            <w:vAlign w:val="center"/>
          </w:tcPr>
          <w:p w14:paraId="0A556B6F"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70"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71" w14:textId="77777777" w:rsidR="006A4082" w:rsidRPr="00B7033D" w:rsidRDefault="006A4082" w:rsidP="000C2F23">
            <w:pPr>
              <w:jc w:val="center"/>
              <w:rPr>
                <w:rFonts w:ascii="Arial" w:eastAsia="Arial" w:hAnsi="Arial" w:cs="Arial"/>
                <w:sz w:val="18"/>
                <w:szCs w:val="18"/>
                <w:lang w:val="es-ES"/>
              </w:rPr>
            </w:pPr>
          </w:p>
        </w:tc>
        <w:tc>
          <w:tcPr>
            <w:tcW w:w="806" w:type="dxa"/>
            <w:vAlign w:val="center"/>
          </w:tcPr>
          <w:p w14:paraId="0A556B72"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73"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74"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75"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76" w14:textId="77777777" w:rsidR="006A4082" w:rsidRPr="00B7033D" w:rsidRDefault="006A4082" w:rsidP="000C2F23">
            <w:pPr>
              <w:jc w:val="center"/>
              <w:rPr>
                <w:rFonts w:ascii="Arial" w:eastAsia="Arial" w:hAnsi="Arial" w:cs="Arial"/>
                <w:sz w:val="18"/>
                <w:szCs w:val="18"/>
                <w:lang w:val="es-ES"/>
              </w:rPr>
            </w:pPr>
          </w:p>
        </w:tc>
        <w:tc>
          <w:tcPr>
            <w:tcW w:w="1488" w:type="dxa"/>
            <w:vAlign w:val="center"/>
          </w:tcPr>
          <w:p w14:paraId="0A556B77" w14:textId="77777777" w:rsidR="006A4082" w:rsidRPr="00B7033D" w:rsidRDefault="006A4082" w:rsidP="000C2F23">
            <w:pPr>
              <w:jc w:val="center"/>
              <w:rPr>
                <w:rFonts w:ascii="Arial" w:eastAsia="Arial" w:hAnsi="Arial" w:cs="Arial"/>
                <w:sz w:val="18"/>
                <w:szCs w:val="18"/>
                <w:lang w:val="es-ES"/>
              </w:rPr>
            </w:pPr>
          </w:p>
        </w:tc>
        <w:tc>
          <w:tcPr>
            <w:tcW w:w="1489" w:type="dxa"/>
            <w:vAlign w:val="center"/>
          </w:tcPr>
          <w:p w14:paraId="0A556B78" w14:textId="77777777" w:rsidR="006A4082" w:rsidRPr="00B7033D" w:rsidRDefault="006A4082" w:rsidP="000C2F23">
            <w:pPr>
              <w:rPr>
                <w:rFonts w:ascii="Arial" w:eastAsia="Arial" w:hAnsi="Arial" w:cs="Arial"/>
                <w:sz w:val="18"/>
                <w:szCs w:val="18"/>
                <w:lang w:val="es-ES"/>
              </w:rPr>
            </w:pPr>
          </w:p>
        </w:tc>
      </w:tr>
      <w:tr w:rsidR="006D3278" w:rsidRPr="00B7033D" w14:paraId="0A556B85" w14:textId="77777777" w:rsidTr="000C2F23">
        <w:trPr>
          <w:trHeight w:val="315"/>
        </w:trPr>
        <w:tc>
          <w:tcPr>
            <w:tcW w:w="885" w:type="dxa"/>
            <w:vAlign w:val="center"/>
          </w:tcPr>
          <w:p w14:paraId="0A556B7A" w14:textId="77777777" w:rsidR="006A4082" w:rsidRPr="00B7033D" w:rsidRDefault="006A4082" w:rsidP="006A4082">
            <w:pPr>
              <w:rPr>
                <w:rFonts w:ascii="Arial" w:eastAsia="Arial" w:hAnsi="Arial" w:cs="Arial"/>
                <w:sz w:val="18"/>
                <w:szCs w:val="18"/>
                <w:lang w:val="es-ES"/>
              </w:rPr>
            </w:pPr>
            <w:r w:rsidRPr="00B7033D">
              <w:rPr>
                <w:rFonts w:ascii="Arial" w:eastAsia="Arial" w:hAnsi="Arial" w:cs="Arial"/>
                <w:sz w:val="18"/>
                <w:szCs w:val="18"/>
                <w:lang w:val="es-ES"/>
              </w:rPr>
              <w:t xml:space="preserve">SSRS </w:t>
            </w:r>
          </w:p>
        </w:tc>
        <w:tc>
          <w:tcPr>
            <w:tcW w:w="805" w:type="dxa"/>
            <w:vAlign w:val="center"/>
          </w:tcPr>
          <w:p w14:paraId="0A556B7B"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7C"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7D" w14:textId="77777777" w:rsidR="006A4082" w:rsidRPr="00B7033D" w:rsidRDefault="006A4082" w:rsidP="000C2F23">
            <w:pPr>
              <w:jc w:val="center"/>
              <w:rPr>
                <w:rFonts w:ascii="Arial" w:eastAsia="Arial" w:hAnsi="Arial" w:cs="Arial"/>
                <w:sz w:val="18"/>
                <w:szCs w:val="18"/>
                <w:lang w:val="es-ES"/>
              </w:rPr>
            </w:pPr>
          </w:p>
        </w:tc>
        <w:tc>
          <w:tcPr>
            <w:tcW w:w="806" w:type="dxa"/>
            <w:vAlign w:val="center"/>
          </w:tcPr>
          <w:p w14:paraId="0A556B7E"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7F"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80"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81"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82" w14:textId="77777777" w:rsidR="006A4082" w:rsidRPr="00B7033D" w:rsidRDefault="006A4082" w:rsidP="000C2F23">
            <w:pPr>
              <w:jc w:val="center"/>
              <w:rPr>
                <w:rFonts w:ascii="Arial" w:eastAsia="Arial" w:hAnsi="Arial" w:cs="Arial"/>
                <w:sz w:val="18"/>
                <w:szCs w:val="18"/>
                <w:lang w:val="es-ES"/>
              </w:rPr>
            </w:pPr>
          </w:p>
        </w:tc>
        <w:tc>
          <w:tcPr>
            <w:tcW w:w="1488" w:type="dxa"/>
            <w:vAlign w:val="center"/>
          </w:tcPr>
          <w:p w14:paraId="0A556B83" w14:textId="77777777" w:rsidR="006A4082" w:rsidRPr="00B7033D" w:rsidRDefault="006A4082" w:rsidP="000C2F23">
            <w:pPr>
              <w:jc w:val="center"/>
              <w:rPr>
                <w:rFonts w:ascii="Arial" w:eastAsia="Arial" w:hAnsi="Arial" w:cs="Arial"/>
                <w:sz w:val="18"/>
                <w:szCs w:val="18"/>
                <w:lang w:val="es-ES"/>
              </w:rPr>
            </w:pPr>
          </w:p>
        </w:tc>
        <w:tc>
          <w:tcPr>
            <w:tcW w:w="1489" w:type="dxa"/>
            <w:vAlign w:val="center"/>
          </w:tcPr>
          <w:p w14:paraId="0A556B84" w14:textId="77777777" w:rsidR="006A4082" w:rsidRPr="00B7033D" w:rsidRDefault="006A4082" w:rsidP="000C2F23">
            <w:pPr>
              <w:rPr>
                <w:rFonts w:ascii="Arial" w:eastAsia="Arial" w:hAnsi="Arial" w:cs="Arial"/>
                <w:sz w:val="18"/>
                <w:szCs w:val="18"/>
                <w:lang w:val="es-ES"/>
              </w:rPr>
            </w:pPr>
          </w:p>
        </w:tc>
      </w:tr>
      <w:tr w:rsidR="006D3278" w:rsidRPr="00B7033D" w14:paraId="0A556B91" w14:textId="77777777" w:rsidTr="000C2F23">
        <w:trPr>
          <w:trHeight w:val="315"/>
        </w:trPr>
        <w:tc>
          <w:tcPr>
            <w:tcW w:w="885" w:type="dxa"/>
            <w:vAlign w:val="center"/>
          </w:tcPr>
          <w:p w14:paraId="0A556B86" w14:textId="77777777" w:rsidR="006A4082" w:rsidRPr="00B7033D" w:rsidRDefault="006A4082" w:rsidP="006A4082">
            <w:pPr>
              <w:rPr>
                <w:rFonts w:ascii="Arial" w:eastAsia="Arial" w:hAnsi="Arial" w:cs="Arial"/>
                <w:sz w:val="18"/>
                <w:szCs w:val="18"/>
                <w:lang w:val="es-ES"/>
              </w:rPr>
            </w:pPr>
            <w:r w:rsidRPr="00B7033D">
              <w:rPr>
                <w:rFonts w:ascii="Arial" w:eastAsia="Arial" w:hAnsi="Arial" w:cs="Arial"/>
                <w:b/>
                <w:bCs/>
                <w:sz w:val="18"/>
                <w:szCs w:val="18"/>
                <w:lang w:val="es-ES"/>
              </w:rPr>
              <w:t>Totales</w:t>
            </w:r>
            <w:r w:rsidRPr="00B7033D">
              <w:rPr>
                <w:rFonts w:ascii="Arial" w:eastAsia="Arial" w:hAnsi="Arial" w:cs="Arial"/>
                <w:sz w:val="18"/>
                <w:szCs w:val="18"/>
                <w:lang w:val="es-ES"/>
              </w:rPr>
              <w:t xml:space="preserve"> </w:t>
            </w:r>
          </w:p>
        </w:tc>
        <w:tc>
          <w:tcPr>
            <w:tcW w:w="805" w:type="dxa"/>
            <w:vAlign w:val="center"/>
          </w:tcPr>
          <w:p w14:paraId="0A556B87"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88" w14:textId="77777777" w:rsidR="006A4082" w:rsidRPr="00B7033D" w:rsidRDefault="006A4082" w:rsidP="000C2F23">
            <w:pPr>
              <w:jc w:val="center"/>
              <w:rPr>
                <w:rFonts w:ascii="Arial" w:eastAsia="Arial" w:hAnsi="Arial" w:cs="Arial"/>
                <w:sz w:val="18"/>
                <w:szCs w:val="18"/>
                <w:lang w:val="es-ES"/>
              </w:rPr>
            </w:pPr>
          </w:p>
        </w:tc>
        <w:tc>
          <w:tcPr>
            <w:tcW w:w="805" w:type="dxa"/>
            <w:vAlign w:val="center"/>
          </w:tcPr>
          <w:p w14:paraId="0A556B89" w14:textId="77777777" w:rsidR="006A4082" w:rsidRPr="00B7033D" w:rsidRDefault="006A4082" w:rsidP="000C2F23">
            <w:pPr>
              <w:jc w:val="center"/>
              <w:rPr>
                <w:rFonts w:ascii="Arial" w:eastAsia="Arial" w:hAnsi="Arial" w:cs="Arial"/>
                <w:sz w:val="18"/>
                <w:szCs w:val="18"/>
                <w:lang w:val="es-ES"/>
              </w:rPr>
            </w:pPr>
          </w:p>
        </w:tc>
        <w:tc>
          <w:tcPr>
            <w:tcW w:w="806" w:type="dxa"/>
            <w:vAlign w:val="center"/>
          </w:tcPr>
          <w:p w14:paraId="0A556B8A"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8B"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8C"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8D" w14:textId="77777777" w:rsidR="006A4082" w:rsidRPr="00B7033D" w:rsidRDefault="006A4082" w:rsidP="000C2F23">
            <w:pPr>
              <w:jc w:val="center"/>
              <w:rPr>
                <w:rFonts w:ascii="Arial" w:eastAsia="Arial" w:hAnsi="Arial" w:cs="Arial"/>
                <w:sz w:val="18"/>
                <w:szCs w:val="18"/>
                <w:lang w:val="es-ES"/>
              </w:rPr>
            </w:pPr>
          </w:p>
        </w:tc>
        <w:tc>
          <w:tcPr>
            <w:tcW w:w="815" w:type="dxa"/>
            <w:vAlign w:val="center"/>
          </w:tcPr>
          <w:p w14:paraId="0A556B8E" w14:textId="77777777" w:rsidR="006A4082" w:rsidRPr="00B7033D" w:rsidRDefault="006A4082" w:rsidP="000C2F23">
            <w:pPr>
              <w:jc w:val="center"/>
              <w:rPr>
                <w:rFonts w:ascii="Arial" w:eastAsia="Arial" w:hAnsi="Arial" w:cs="Arial"/>
                <w:sz w:val="18"/>
                <w:szCs w:val="18"/>
                <w:lang w:val="es-ES"/>
              </w:rPr>
            </w:pPr>
          </w:p>
        </w:tc>
        <w:tc>
          <w:tcPr>
            <w:tcW w:w="1488" w:type="dxa"/>
            <w:vAlign w:val="center"/>
          </w:tcPr>
          <w:p w14:paraId="0A556B8F" w14:textId="77777777" w:rsidR="006A4082" w:rsidRPr="00B7033D" w:rsidRDefault="006A4082" w:rsidP="000C2F23">
            <w:pPr>
              <w:jc w:val="center"/>
              <w:rPr>
                <w:rFonts w:ascii="Arial" w:eastAsia="Arial" w:hAnsi="Arial" w:cs="Arial"/>
                <w:sz w:val="18"/>
                <w:szCs w:val="18"/>
                <w:lang w:val="es-ES"/>
              </w:rPr>
            </w:pPr>
          </w:p>
        </w:tc>
        <w:tc>
          <w:tcPr>
            <w:tcW w:w="1489" w:type="dxa"/>
            <w:vAlign w:val="center"/>
          </w:tcPr>
          <w:p w14:paraId="0A556B90" w14:textId="77777777" w:rsidR="006A4082" w:rsidRPr="00B7033D" w:rsidRDefault="006A4082" w:rsidP="000C2F23">
            <w:pPr>
              <w:rPr>
                <w:rFonts w:ascii="Arial" w:eastAsia="Arial" w:hAnsi="Arial" w:cs="Arial"/>
                <w:sz w:val="18"/>
                <w:szCs w:val="18"/>
                <w:lang w:val="es-ES"/>
              </w:rPr>
            </w:pPr>
          </w:p>
        </w:tc>
      </w:tr>
    </w:tbl>
    <w:p w14:paraId="0A556B92" w14:textId="77777777" w:rsidR="002E7ABE" w:rsidRPr="00B7033D" w:rsidRDefault="002E7ABE" w:rsidP="3E1FCAEC">
      <w:pPr>
        <w:rPr>
          <w:rFonts w:ascii="Arial" w:eastAsia="Arial" w:hAnsi="Arial" w:cs="Arial"/>
          <w:lang w:val="es-ES"/>
        </w:rPr>
      </w:pPr>
    </w:p>
    <w:p w14:paraId="0A556B93" w14:textId="77777777" w:rsidR="2667F115" w:rsidRPr="00B7033D" w:rsidRDefault="002E7ABE" w:rsidP="3E1FCAEC">
      <w:pPr>
        <w:rPr>
          <w:rFonts w:ascii="Arial" w:eastAsia="Arial" w:hAnsi="Arial" w:cs="Arial"/>
          <w:lang w:val="es-ES"/>
        </w:rPr>
      </w:pPr>
      <w:r w:rsidRPr="00B7033D">
        <w:rPr>
          <w:rFonts w:ascii="Arial" w:eastAsia="Arial" w:hAnsi="Arial" w:cs="Arial"/>
          <w:lang w:val="es-ES"/>
        </w:rPr>
        <w:t xml:space="preserve">Notas importantes </w:t>
      </w:r>
      <w:r w:rsidRPr="00B7033D">
        <w:rPr>
          <w:rFonts w:ascii="Arial" w:eastAsia="Arial" w:hAnsi="Arial" w:cs="Arial"/>
          <w:highlight w:val="yellow"/>
          <w:lang w:val="es-ES"/>
        </w:rPr>
        <w:t>(incluidos los tipos de cambio supuestos y cualquier otro detalle pertinente):</w:t>
      </w:r>
      <w:r w:rsidRPr="00B7033D">
        <w:rPr>
          <w:rFonts w:ascii="Arial" w:eastAsia="Arial" w:hAnsi="Arial" w:cs="Arial"/>
          <w:lang w:val="es-ES"/>
        </w:rPr>
        <w:t xml:space="preserve"> </w:t>
      </w:r>
    </w:p>
    <w:p w14:paraId="0A556B94" w14:textId="77777777" w:rsidR="2667F115" w:rsidRPr="00B7033D" w:rsidRDefault="2667F115" w:rsidP="00426EB6">
      <w:pPr>
        <w:spacing w:line="242" w:lineRule="atLeast"/>
        <w:rPr>
          <w:rFonts w:ascii="Arial" w:eastAsia="Arial" w:hAnsi="Arial" w:cs="Arial"/>
          <w:lang w:val="es-ES"/>
        </w:rPr>
      </w:pPr>
      <w:r w:rsidRPr="00B7033D">
        <w:rPr>
          <w:rFonts w:ascii="Arial" w:eastAsia="Arial" w:hAnsi="Arial" w:cs="Arial"/>
          <w:lang w:val="es-ES"/>
        </w:rPr>
        <w:t xml:space="preserve">  </w:t>
      </w:r>
    </w:p>
    <w:p w14:paraId="0A556B95" w14:textId="77777777" w:rsidR="00A43C6B" w:rsidRPr="00B7033D" w:rsidRDefault="00A406A4" w:rsidP="00333D33">
      <w:pPr>
        <w:spacing w:line="242" w:lineRule="atLeast"/>
        <w:rPr>
          <w:rFonts w:ascii="Arial" w:eastAsia="Times New Roman" w:hAnsi="Arial" w:cs="Arial"/>
          <w:lang w:val="es-ES"/>
        </w:rPr>
      </w:pPr>
      <w:r w:rsidRPr="00B7033D">
        <w:rPr>
          <w:rFonts w:ascii="Arial" w:eastAsia="Times New Roman" w:hAnsi="Arial" w:cs="Arial"/>
          <w:b/>
          <w:bCs/>
          <w:i/>
          <w:iCs/>
          <w:lang w:val="es-ES"/>
        </w:rPr>
        <w:t>1.3. Compromisos programáticos específicos.</w:t>
      </w:r>
      <w:r w:rsidRPr="00B7033D">
        <w:rPr>
          <w:rFonts w:ascii="Arial" w:eastAsia="Times New Roman" w:hAnsi="Arial" w:cs="Arial"/>
          <w:lang w:val="es-ES"/>
        </w:rPr>
        <w:t xml:space="preserve">  También nos comprometemos a destinar parte de nuestro incremento del gasto nacional durante el período de asignación 2023-2025 a actividades e intervenciones específicas relacionadas con el VIH, la tuberculosis, la malaria y los SSRS. En la siguiente tabla figuran los montos totales que nos comprometemos a destinar a estas áreas específicas durante el período de asignación 2023-2025 para cada actividad e intervención.</w:t>
      </w:r>
    </w:p>
    <w:p w14:paraId="0A556B96" w14:textId="77777777" w:rsidR="00A43C6B" w:rsidRPr="00B7033D" w:rsidRDefault="00400325" w:rsidP="00A43C6B">
      <w:pPr>
        <w:spacing w:before="120" w:line="242" w:lineRule="atLeast"/>
        <w:rPr>
          <w:rFonts w:ascii="Arial" w:hAnsi="Arial" w:cs="Arial"/>
          <w:b/>
          <w:bCs/>
          <w:lang w:val="es-ES"/>
        </w:rPr>
      </w:pPr>
      <w:r w:rsidRPr="00B7033D">
        <w:rPr>
          <w:rFonts w:ascii="Arial" w:hAnsi="Arial" w:cs="Arial"/>
          <w:b/>
          <w:bCs/>
          <w:lang w:val="es-ES"/>
        </w:rPr>
        <w:t xml:space="preserve">Compromisos programáticos específicos durante el período de asignación 2023-2025 </w:t>
      </w:r>
    </w:p>
    <w:p w14:paraId="0A556B97" w14:textId="77777777" w:rsidR="00B46484" w:rsidRPr="00B7033D" w:rsidRDefault="00B46484" w:rsidP="00333D33">
      <w:pPr>
        <w:spacing w:line="242" w:lineRule="atLeast"/>
        <w:rPr>
          <w:rFonts w:ascii="Arial" w:eastAsia="Times New Roman" w:hAnsi="Arial" w:cs="Arial"/>
          <w:lang w:val="es-ES"/>
        </w:rPr>
      </w:pPr>
    </w:p>
    <w:tbl>
      <w:tblPr>
        <w:tblStyle w:val="TableGrid"/>
        <w:tblW w:w="10435" w:type="dxa"/>
        <w:tblLayout w:type="fixed"/>
        <w:tblLook w:val="04A0" w:firstRow="1" w:lastRow="0" w:firstColumn="1" w:lastColumn="0" w:noHBand="0" w:noVBand="1"/>
      </w:tblPr>
      <w:tblGrid>
        <w:gridCol w:w="1165"/>
        <w:gridCol w:w="2790"/>
        <w:gridCol w:w="2250"/>
        <w:gridCol w:w="2430"/>
        <w:gridCol w:w="1800"/>
      </w:tblGrid>
      <w:tr w:rsidR="004C214E" w:rsidRPr="008E5C32" w14:paraId="0A556B9D" w14:textId="77777777" w:rsidTr="004C214E">
        <w:trPr>
          <w:trHeight w:val="1052"/>
        </w:trPr>
        <w:tc>
          <w:tcPr>
            <w:tcW w:w="1165" w:type="dxa"/>
            <w:shd w:val="clear" w:color="auto" w:fill="D9E2F3" w:themeFill="accent5" w:themeFillTint="33"/>
          </w:tcPr>
          <w:p w14:paraId="0A556B98" w14:textId="77777777" w:rsidR="004C214E" w:rsidRPr="00B7033D" w:rsidRDefault="004C214E" w:rsidP="006111C2">
            <w:pPr>
              <w:spacing w:line="242" w:lineRule="atLeast"/>
              <w:rPr>
                <w:rFonts w:ascii="Arial" w:eastAsia="Times New Roman" w:hAnsi="Arial" w:cs="Arial"/>
                <w:b/>
                <w:bCs/>
                <w:sz w:val="20"/>
                <w:szCs w:val="20"/>
                <w:lang w:val="es-ES"/>
              </w:rPr>
            </w:pPr>
            <w:r w:rsidRPr="00B7033D">
              <w:rPr>
                <w:rFonts w:ascii="Arial" w:eastAsia="Times New Roman" w:hAnsi="Arial" w:cs="Arial"/>
                <w:b/>
                <w:bCs/>
                <w:sz w:val="20"/>
                <w:szCs w:val="20"/>
                <w:lang w:val="es-ES"/>
              </w:rPr>
              <w:t>Programa</w:t>
            </w:r>
          </w:p>
        </w:tc>
        <w:tc>
          <w:tcPr>
            <w:tcW w:w="2790" w:type="dxa"/>
            <w:shd w:val="clear" w:color="auto" w:fill="D9E2F3" w:themeFill="accent5" w:themeFillTint="33"/>
          </w:tcPr>
          <w:p w14:paraId="0A556B99" w14:textId="77777777" w:rsidR="004C214E" w:rsidRPr="00B7033D" w:rsidRDefault="004C214E" w:rsidP="006111C2">
            <w:pPr>
              <w:spacing w:line="242" w:lineRule="atLeast"/>
              <w:rPr>
                <w:rFonts w:ascii="Arial" w:eastAsia="Times New Roman" w:hAnsi="Arial" w:cs="Arial"/>
                <w:b/>
                <w:bCs/>
                <w:sz w:val="20"/>
                <w:szCs w:val="20"/>
                <w:lang w:val="es-ES"/>
              </w:rPr>
            </w:pPr>
            <w:r w:rsidRPr="00B7033D">
              <w:rPr>
                <w:rFonts w:ascii="Arial" w:eastAsia="Times New Roman" w:hAnsi="Arial" w:cs="Arial"/>
                <w:b/>
                <w:bCs/>
                <w:sz w:val="20"/>
                <w:szCs w:val="20"/>
                <w:lang w:val="es-ES"/>
              </w:rPr>
              <w:t>Intervención/actividad</w:t>
            </w:r>
          </w:p>
        </w:tc>
        <w:tc>
          <w:tcPr>
            <w:tcW w:w="2250" w:type="dxa"/>
            <w:shd w:val="clear" w:color="auto" w:fill="D9E2F3" w:themeFill="accent5" w:themeFillTint="33"/>
          </w:tcPr>
          <w:p w14:paraId="0A556B9A" w14:textId="77777777" w:rsidR="004C214E" w:rsidRPr="00B7033D" w:rsidRDefault="004C214E">
            <w:pPr>
              <w:spacing w:line="242" w:lineRule="atLeast"/>
              <w:jc w:val="center"/>
              <w:rPr>
                <w:rFonts w:ascii="Arial" w:eastAsia="Times New Roman" w:hAnsi="Arial" w:cs="Arial"/>
                <w:b/>
                <w:bCs/>
                <w:sz w:val="20"/>
                <w:szCs w:val="20"/>
                <w:lang w:val="es-ES"/>
              </w:rPr>
            </w:pPr>
            <w:r w:rsidRPr="00B7033D">
              <w:rPr>
                <w:rFonts w:ascii="Arial" w:eastAsia="Times New Roman" w:hAnsi="Arial" w:cs="Arial"/>
                <w:b/>
                <w:bCs/>
                <w:sz w:val="20"/>
                <w:szCs w:val="20"/>
                <w:lang w:val="es-ES"/>
              </w:rPr>
              <w:t xml:space="preserve">Compromiso de financiamiento nacional total para los tres años del período de asignación 2023-2025 </w:t>
            </w:r>
            <w:r w:rsidRPr="00B7033D">
              <w:rPr>
                <w:rFonts w:ascii="Arial" w:eastAsia="Times New Roman" w:hAnsi="Arial" w:cs="Arial"/>
                <w:b/>
                <w:bCs/>
                <w:sz w:val="20"/>
                <w:szCs w:val="20"/>
                <w:highlight w:val="yellow"/>
                <w:lang w:val="es-ES"/>
              </w:rPr>
              <w:t>(USD/EUR)</w:t>
            </w:r>
          </w:p>
        </w:tc>
        <w:tc>
          <w:tcPr>
            <w:tcW w:w="2430" w:type="dxa"/>
            <w:shd w:val="clear" w:color="auto" w:fill="D9E2F3" w:themeFill="accent5" w:themeFillTint="33"/>
          </w:tcPr>
          <w:p w14:paraId="0A556B9B" w14:textId="77777777" w:rsidR="004C214E" w:rsidRPr="00B7033D" w:rsidRDefault="004C214E">
            <w:pPr>
              <w:spacing w:line="242" w:lineRule="atLeast"/>
              <w:jc w:val="center"/>
              <w:rPr>
                <w:rFonts w:ascii="Arial" w:eastAsia="Times New Roman" w:hAnsi="Arial" w:cs="Arial"/>
                <w:b/>
                <w:bCs/>
                <w:sz w:val="20"/>
                <w:szCs w:val="20"/>
                <w:lang w:val="es-ES"/>
              </w:rPr>
            </w:pPr>
            <w:r w:rsidRPr="00B7033D">
              <w:rPr>
                <w:rFonts w:ascii="Arial" w:eastAsia="Times New Roman" w:hAnsi="Arial" w:cs="Arial"/>
                <w:b/>
                <w:bCs/>
                <w:sz w:val="20"/>
                <w:szCs w:val="20"/>
                <w:lang w:val="es-ES"/>
              </w:rPr>
              <w:t xml:space="preserve">Compromiso adicional durante el período de asignación 2023-2025 por encima del monto del período de asignación 2020-2022 </w:t>
            </w:r>
            <w:r w:rsidRPr="00B7033D">
              <w:rPr>
                <w:rFonts w:ascii="Arial" w:eastAsia="Times New Roman" w:hAnsi="Arial" w:cs="Arial"/>
                <w:b/>
                <w:bCs/>
                <w:sz w:val="20"/>
                <w:szCs w:val="20"/>
                <w:highlight w:val="yellow"/>
                <w:lang w:val="es-ES"/>
              </w:rPr>
              <w:t>(USD/EUR)</w:t>
            </w:r>
          </w:p>
        </w:tc>
        <w:tc>
          <w:tcPr>
            <w:tcW w:w="1800" w:type="dxa"/>
            <w:shd w:val="clear" w:color="auto" w:fill="D9E2F3" w:themeFill="accent5" w:themeFillTint="33"/>
          </w:tcPr>
          <w:p w14:paraId="0A556B9C" w14:textId="77777777" w:rsidR="004C214E" w:rsidRPr="00B7033D" w:rsidRDefault="004C214E">
            <w:pPr>
              <w:spacing w:line="242" w:lineRule="atLeast"/>
              <w:jc w:val="center"/>
              <w:rPr>
                <w:rFonts w:ascii="Arial" w:eastAsia="Times New Roman" w:hAnsi="Arial" w:cs="Arial"/>
                <w:b/>
                <w:bCs/>
                <w:sz w:val="20"/>
                <w:szCs w:val="20"/>
                <w:lang w:val="es-ES"/>
              </w:rPr>
            </w:pPr>
            <w:r w:rsidRPr="00B7033D">
              <w:rPr>
                <w:rFonts w:ascii="Arial" w:eastAsia="Times New Roman" w:hAnsi="Arial" w:cs="Arial"/>
                <w:b/>
                <w:bCs/>
                <w:sz w:val="20"/>
                <w:szCs w:val="20"/>
                <w:lang w:val="es-ES"/>
              </w:rPr>
              <w:t>Fuente de datos para el monitoreo y la verificación</w:t>
            </w:r>
          </w:p>
        </w:tc>
      </w:tr>
      <w:tr w:rsidR="004C214E" w:rsidRPr="00B7033D" w14:paraId="0A556BA3" w14:textId="77777777" w:rsidTr="004C214E">
        <w:tc>
          <w:tcPr>
            <w:tcW w:w="1165" w:type="dxa"/>
            <w:vMerge w:val="restart"/>
          </w:tcPr>
          <w:p w14:paraId="0A556B9E" w14:textId="77777777" w:rsidR="004C214E" w:rsidRPr="00B7033D" w:rsidRDefault="004C214E">
            <w:pPr>
              <w:spacing w:line="242" w:lineRule="atLeast"/>
              <w:rPr>
                <w:rFonts w:ascii="Arial" w:eastAsia="Times New Roman" w:hAnsi="Arial" w:cs="Arial"/>
                <w:sz w:val="20"/>
                <w:szCs w:val="20"/>
                <w:lang w:val="es-ES"/>
              </w:rPr>
            </w:pPr>
            <w:r w:rsidRPr="00B7033D">
              <w:rPr>
                <w:rFonts w:ascii="Arial" w:eastAsia="Times New Roman" w:hAnsi="Arial" w:cs="Arial"/>
                <w:sz w:val="20"/>
                <w:szCs w:val="20"/>
                <w:lang w:val="es-ES"/>
              </w:rPr>
              <w:t>VIH</w:t>
            </w:r>
          </w:p>
        </w:tc>
        <w:tc>
          <w:tcPr>
            <w:tcW w:w="2790" w:type="dxa"/>
          </w:tcPr>
          <w:p w14:paraId="0A556B9F" w14:textId="77777777" w:rsidR="004C214E" w:rsidRPr="00B7033D" w:rsidRDefault="004C214E">
            <w:pPr>
              <w:spacing w:line="242" w:lineRule="atLeast"/>
              <w:rPr>
                <w:rFonts w:ascii="Arial" w:eastAsia="Times New Roman" w:hAnsi="Arial" w:cs="Arial"/>
                <w:i/>
                <w:iCs/>
                <w:sz w:val="20"/>
                <w:szCs w:val="20"/>
                <w:lang w:val="es-ES"/>
              </w:rPr>
            </w:pPr>
          </w:p>
        </w:tc>
        <w:tc>
          <w:tcPr>
            <w:tcW w:w="2250" w:type="dxa"/>
          </w:tcPr>
          <w:p w14:paraId="0A556BA0"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A1" w14:textId="77777777" w:rsidR="004C214E" w:rsidRPr="00B7033D" w:rsidRDefault="004C214E" w:rsidP="004B4E4D">
            <w:pPr>
              <w:spacing w:line="242" w:lineRule="atLeast"/>
              <w:jc w:val="right"/>
              <w:rPr>
                <w:rFonts w:ascii="Arial" w:eastAsia="Times New Roman" w:hAnsi="Arial" w:cs="Arial"/>
                <w:sz w:val="20"/>
                <w:szCs w:val="20"/>
                <w:lang w:val="es-ES"/>
              </w:rPr>
            </w:pPr>
          </w:p>
        </w:tc>
        <w:tc>
          <w:tcPr>
            <w:tcW w:w="1800" w:type="dxa"/>
          </w:tcPr>
          <w:p w14:paraId="0A556BA2"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A9" w14:textId="77777777" w:rsidTr="004C214E">
        <w:tc>
          <w:tcPr>
            <w:tcW w:w="1165" w:type="dxa"/>
            <w:vMerge/>
          </w:tcPr>
          <w:p w14:paraId="0A556BA4"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A5"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A6"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A7"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A8"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AF" w14:textId="77777777" w:rsidTr="004C214E">
        <w:tc>
          <w:tcPr>
            <w:tcW w:w="1165" w:type="dxa"/>
            <w:vMerge/>
          </w:tcPr>
          <w:p w14:paraId="0A556BAA"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AB"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AC"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AD"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AE"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B5" w14:textId="77777777" w:rsidTr="004C214E">
        <w:tc>
          <w:tcPr>
            <w:tcW w:w="1165" w:type="dxa"/>
            <w:vMerge w:val="restart"/>
          </w:tcPr>
          <w:p w14:paraId="0A556BB0" w14:textId="77777777" w:rsidR="004C214E" w:rsidRPr="00B7033D" w:rsidRDefault="004C214E">
            <w:pPr>
              <w:spacing w:line="242" w:lineRule="atLeast"/>
              <w:rPr>
                <w:rFonts w:ascii="Arial" w:eastAsia="Times New Roman" w:hAnsi="Arial" w:cs="Arial"/>
                <w:sz w:val="20"/>
                <w:szCs w:val="20"/>
                <w:lang w:val="es-ES"/>
              </w:rPr>
            </w:pPr>
            <w:r w:rsidRPr="00B7033D">
              <w:rPr>
                <w:rFonts w:ascii="Arial" w:eastAsia="Times New Roman" w:hAnsi="Arial" w:cs="Arial"/>
                <w:sz w:val="20"/>
                <w:szCs w:val="20"/>
                <w:lang w:val="es-ES"/>
              </w:rPr>
              <w:t>Tuberculosis</w:t>
            </w:r>
          </w:p>
        </w:tc>
        <w:tc>
          <w:tcPr>
            <w:tcW w:w="2790" w:type="dxa"/>
          </w:tcPr>
          <w:p w14:paraId="0A556BB1"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B2"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B3"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B4"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BB" w14:textId="77777777" w:rsidTr="004C214E">
        <w:tc>
          <w:tcPr>
            <w:tcW w:w="1165" w:type="dxa"/>
            <w:vMerge/>
          </w:tcPr>
          <w:p w14:paraId="0A556BB6"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B7"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B8"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B9"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BA"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C1" w14:textId="77777777" w:rsidTr="004C214E">
        <w:tc>
          <w:tcPr>
            <w:tcW w:w="1165" w:type="dxa"/>
            <w:vMerge/>
          </w:tcPr>
          <w:p w14:paraId="0A556BBC"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BD"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BE"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BF"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C0"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C7" w14:textId="77777777" w:rsidTr="004C214E">
        <w:tc>
          <w:tcPr>
            <w:tcW w:w="1165" w:type="dxa"/>
            <w:vMerge w:val="restart"/>
          </w:tcPr>
          <w:p w14:paraId="0A556BC2" w14:textId="77777777" w:rsidR="004C214E" w:rsidRPr="00B7033D" w:rsidRDefault="004C214E">
            <w:pPr>
              <w:spacing w:line="242" w:lineRule="atLeast"/>
              <w:rPr>
                <w:rFonts w:ascii="Arial" w:eastAsia="Times New Roman" w:hAnsi="Arial" w:cs="Arial"/>
                <w:sz w:val="20"/>
                <w:szCs w:val="20"/>
                <w:lang w:val="es-ES"/>
              </w:rPr>
            </w:pPr>
            <w:r w:rsidRPr="00B7033D">
              <w:rPr>
                <w:rFonts w:ascii="Arial" w:eastAsia="Times New Roman" w:hAnsi="Arial" w:cs="Arial"/>
                <w:sz w:val="20"/>
                <w:szCs w:val="20"/>
                <w:lang w:val="es-ES"/>
              </w:rPr>
              <w:t>Malaria</w:t>
            </w:r>
          </w:p>
        </w:tc>
        <w:tc>
          <w:tcPr>
            <w:tcW w:w="2790" w:type="dxa"/>
          </w:tcPr>
          <w:p w14:paraId="0A556BC3"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C4"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C5"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C6"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CD" w14:textId="77777777" w:rsidTr="004C214E">
        <w:tc>
          <w:tcPr>
            <w:tcW w:w="1165" w:type="dxa"/>
            <w:vMerge/>
          </w:tcPr>
          <w:p w14:paraId="0A556BC8"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C9"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CA"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CB"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CC"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D3" w14:textId="77777777" w:rsidTr="004C214E">
        <w:tc>
          <w:tcPr>
            <w:tcW w:w="1165" w:type="dxa"/>
            <w:vMerge/>
          </w:tcPr>
          <w:p w14:paraId="0A556BCE"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CF"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D0"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D1"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D2"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D9" w14:textId="77777777" w:rsidTr="004C214E">
        <w:tc>
          <w:tcPr>
            <w:tcW w:w="1165" w:type="dxa"/>
            <w:vMerge w:val="restart"/>
          </w:tcPr>
          <w:p w14:paraId="0A556BD4" w14:textId="77777777" w:rsidR="004C214E" w:rsidRPr="00B7033D" w:rsidRDefault="004C214E">
            <w:pPr>
              <w:spacing w:line="242" w:lineRule="atLeast"/>
              <w:rPr>
                <w:rFonts w:ascii="Arial" w:eastAsia="Times New Roman" w:hAnsi="Arial" w:cs="Arial"/>
                <w:sz w:val="20"/>
                <w:szCs w:val="20"/>
                <w:lang w:val="es-ES"/>
              </w:rPr>
            </w:pPr>
            <w:r w:rsidRPr="00B7033D">
              <w:rPr>
                <w:rFonts w:ascii="Arial" w:eastAsia="Times New Roman" w:hAnsi="Arial" w:cs="Arial"/>
                <w:sz w:val="20"/>
                <w:szCs w:val="20"/>
                <w:lang w:val="es-ES"/>
              </w:rPr>
              <w:t>SSRS</w:t>
            </w:r>
          </w:p>
        </w:tc>
        <w:tc>
          <w:tcPr>
            <w:tcW w:w="2790" w:type="dxa"/>
          </w:tcPr>
          <w:p w14:paraId="0A556BD5"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D6"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D7"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D8"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DF" w14:textId="77777777" w:rsidTr="004C214E">
        <w:tc>
          <w:tcPr>
            <w:tcW w:w="1165" w:type="dxa"/>
            <w:vMerge/>
          </w:tcPr>
          <w:p w14:paraId="0A556BDA"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DB"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DC"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DD"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DE" w14:textId="77777777" w:rsidR="004C214E" w:rsidRPr="00B7033D" w:rsidRDefault="004C214E">
            <w:pPr>
              <w:spacing w:line="242" w:lineRule="atLeast"/>
              <w:rPr>
                <w:rFonts w:ascii="Arial" w:eastAsia="Times New Roman" w:hAnsi="Arial" w:cs="Arial"/>
                <w:sz w:val="20"/>
                <w:szCs w:val="20"/>
                <w:lang w:val="es-ES"/>
              </w:rPr>
            </w:pPr>
          </w:p>
        </w:tc>
      </w:tr>
      <w:tr w:rsidR="004C214E" w:rsidRPr="00B7033D" w14:paraId="0A556BE5" w14:textId="77777777" w:rsidTr="004C214E">
        <w:tc>
          <w:tcPr>
            <w:tcW w:w="1165" w:type="dxa"/>
            <w:vMerge/>
          </w:tcPr>
          <w:p w14:paraId="0A556BE0" w14:textId="77777777" w:rsidR="004C214E" w:rsidRPr="00B7033D" w:rsidRDefault="004C214E">
            <w:pPr>
              <w:spacing w:line="242" w:lineRule="atLeast"/>
              <w:rPr>
                <w:rFonts w:ascii="Arial" w:eastAsia="Times New Roman" w:hAnsi="Arial" w:cs="Arial"/>
                <w:sz w:val="20"/>
                <w:szCs w:val="20"/>
                <w:lang w:val="es-ES"/>
              </w:rPr>
            </w:pPr>
          </w:p>
        </w:tc>
        <w:tc>
          <w:tcPr>
            <w:tcW w:w="2790" w:type="dxa"/>
          </w:tcPr>
          <w:p w14:paraId="0A556BE1" w14:textId="77777777" w:rsidR="004C214E" w:rsidRPr="00B7033D" w:rsidRDefault="004C214E">
            <w:pPr>
              <w:spacing w:line="242" w:lineRule="atLeast"/>
              <w:rPr>
                <w:rFonts w:ascii="Arial" w:eastAsia="Times New Roman" w:hAnsi="Arial" w:cs="Arial"/>
                <w:sz w:val="20"/>
                <w:szCs w:val="20"/>
                <w:lang w:val="es-ES"/>
              </w:rPr>
            </w:pPr>
          </w:p>
        </w:tc>
        <w:tc>
          <w:tcPr>
            <w:tcW w:w="2250" w:type="dxa"/>
          </w:tcPr>
          <w:p w14:paraId="0A556BE2" w14:textId="77777777" w:rsidR="004C214E" w:rsidRPr="00B7033D" w:rsidRDefault="004C214E">
            <w:pPr>
              <w:spacing w:line="242" w:lineRule="atLeast"/>
              <w:rPr>
                <w:rFonts w:ascii="Arial" w:eastAsia="Times New Roman" w:hAnsi="Arial" w:cs="Arial"/>
                <w:sz w:val="20"/>
                <w:szCs w:val="20"/>
                <w:lang w:val="es-ES"/>
              </w:rPr>
            </w:pPr>
          </w:p>
        </w:tc>
        <w:tc>
          <w:tcPr>
            <w:tcW w:w="2430" w:type="dxa"/>
          </w:tcPr>
          <w:p w14:paraId="0A556BE3" w14:textId="77777777" w:rsidR="004C214E" w:rsidRPr="00B7033D" w:rsidRDefault="004C214E">
            <w:pPr>
              <w:spacing w:line="242" w:lineRule="atLeast"/>
              <w:rPr>
                <w:rFonts w:ascii="Arial" w:eastAsia="Times New Roman" w:hAnsi="Arial" w:cs="Arial"/>
                <w:sz w:val="20"/>
                <w:szCs w:val="20"/>
                <w:lang w:val="es-ES"/>
              </w:rPr>
            </w:pPr>
          </w:p>
        </w:tc>
        <w:tc>
          <w:tcPr>
            <w:tcW w:w="1800" w:type="dxa"/>
          </w:tcPr>
          <w:p w14:paraId="0A556BE4" w14:textId="77777777" w:rsidR="004C214E" w:rsidRPr="00B7033D" w:rsidRDefault="004C214E">
            <w:pPr>
              <w:spacing w:line="242" w:lineRule="atLeast"/>
              <w:rPr>
                <w:rFonts w:ascii="Arial" w:eastAsia="Times New Roman" w:hAnsi="Arial" w:cs="Arial"/>
                <w:sz w:val="20"/>
                <w:szCs w:val="20"/>
                <w:lang w:val="es-ES"/>
              </w:rPr>
            </w:pPr>
          </w:p>
        </w:tc>
      </w:tr>
    </w:tbl>
    <w:p w14:paraId="0A556BE6" w14:textId="77777777" w:rsidR="00B92521" w:rsidRPr="00B7033D" w:rsidRDefault="00B92521">
      <w:pPr>
        <w:spacing w:after="160" w:line="259" w:lineRule="auto"/>
        <w:rPr>
          <w:rFonts w:ascii="Arial" w:eastAsia="Times New Roman" w:hAnsi="Arial" w:cs="Arial"/>
          <w:b/>
          <w:bCs/>
          <w:sz w:val="24"/>
          <w:szCs w:val="24"/>
          <w:lang w:val="es-ES"/>
        </w:rPr>
      </w:pPr>
    </w:p>
    <w:p w14:paraId="0A556BE7" w14:textId="77777777" w:rsidR="00C266C6" w:rsidRPr="00B7033D" w:rsidRDefault="00C266C6" w:rsidP="0043181F">
      <w:pPr>
        <w:pStyle w:val="ListParagraph"/>
        <w:numPr>
          <w:ilvl w:val="0"/>
          <w:numId w:val="10"/>
        </w:numPr>
        <w:spacing w:line="242" w:lineRule="atLeast"/>
        <w:rPr>
          <w:rFonts w:ascii="Arial" w:hAnsi="Arial" w:cs="Arial"/>
          <w:b/>
          <w:bCs/>
          <w:lang w:val="es-ES"/>
        </w:rPr>
      </w:pPr>
      <w:r w:rsidRPr="00B7033D">
        <w:rPr>
          <w:rFonts w:ascii="Arial" w:hAnsi="Arial" w:cs="Arial"/>
          <w:b/>
          <w:bCs/>
          <w:lang w:val="es-ES"/>
        </w:rPr>
        <w:t>Monitoreo y presentación de informes</w:t>
      </w:r>
    </w:p>
    <w:p w14:paraId="0A556BE8" w14:textId="77777777" w:rsidR="00C266C6" w:rsidRPr="00B7033D" w:rsidRDefault="007700A7" w:rsidP="00AA2250">
      <w:pPr>
        <w:spacing w:line="242" w:lineRule="atLeast"/>
        <w:rPr>
          <w:rFonts w:ascii="Arial" w:hAnsi="Arial" w:cs="Arial"/>
          <w:lang w:val="es-ES"/>
        </w:rPr>
      </w:pPr>
      <w:r w:rsidRPr="00B7033D">
        <w:rPr>
          <w:rFonts w:ascii="Arial" w:hAnsi="Arial" w:cs="Arial"/>
          <w:lang w:val="es-ES"/>
        </w:rPr>
        <w:t>También nos comprometemos a proporcionar al Fondo Mundial documentación y evidencias verificables y fiables sobre el gasto de fondos nacionales o, cuando todavía no se disponga de las cifras sobre el gasto, los últimos montos presupuestados, basándonos en lo siguiente:</w:t>
      </w:r>
    </w:p>
    <w:p w14:paraId="0A556BE9" w14:textId="77777777" w:rsidR="00DF58EF" w:rsidRPr="00B7033D" w:rsidRDefault="00C266C6" w:rsidP="00403C50">
      <w:pPr>
        <w:pStyle w:val="ListParagraph"/>
        <w:numPr>
          <w:ilvl w:val="0"/>
          <w:numId w:val="7"/>
        </w:numPr>
        <w:spacing w:before="120" w:beforeAutospacing="0" w:line="242" w:lineRule="atLeast"/>
        <w:ind w:left="714" w:hanging="357"/>
        <w:rPr>
          <w:rFonts w:ascii="Arial" w:hAnsi="Arial" w:cs="Arial"/>
          <w:sz w:val="22"/>
          <w:szCs w:val="22"/>
          <w:lang w:val="es-ES"/>
        </w:rPr>
      </w:pPr>
      <w:r w:rsidRPr="00B7033D">
        <w:rPr>
          <w:rFonts w:ascii="Arial" w:hAnsi="Arial" w:cs="Arial"/>
          <w:sz w:val="22"/>
          <w:szCs w:val="22"/>
          <w:lang w:val="es-ES"/>
        </w:rPr>
        <w:lastRenderedPageBreak/>
        <w:t xml:space="preserve">Para gastos previos: </w:t>
      </w:r>
      <w:r w:rsidRPr="00B7033D">
        <w:rPr>
          <w:rFonts w:ascii="Arial" w:hAnsi="Arial" w:cs="Arial"/>
          <w:sz w:val="22"/>
          <w:szCs w:val="22"/>
          <w:highlight w:val="yellow"/>
          <w:lang w:val="es-ES"/>
        </w:rPr>
        <w:t>[</w:t>
      </w:r>
      <w:r w:rsidRPr="00B7033D">
        <w:rPr>
          <w:rFonts w:ascii="Arial" w:hAnsi="Arial" w:cs="Arial"/>
          <w:i/>
          <w:iCs/>
          <w:sz w:val="22"/>
          <w:szCs w:val="22"/>
          <w:highlight w:val="yellow"/>
          <w:lang w:val="es-ES"/>
        </w:rPr>
        <w:t>Ejemplos:</w:t>
      </w:r>
      <w:r w:rsidRPr="00B7033D">
        <w:rPr>
          <w:rFonts w:ascii="Arial" w:hAnsi="Arial" w:cs="Arial"/>
          <w:sz w:val="22"/>
          <w:szCs w:val="22"/>
          <w:highlight w:val="yellow"/>
          <w:lang w:val="es-ES"/>
        </w:rPr>
        <w:t xml:space="preserve"> informes de ejecución del presupuesto o de gastos con relación a las asignaciones, o partidas presupuestarias y actividades claramente relacionadas con los compromisos, registro de adquisiciones, etc.]</w:t>
      </w:r>
    </w:p>
    <w:p w14:paraId="0A556BEA" w14:textId="77777777" w:rsidR="003D1AA1" w:rsidRPr="00B7033D" w:rsidRDefault="00C266C6" w:rsidP="00F96E51">
      <w:pPr>
        <w:pStyle w:val="ListParagraph"/>
        <w:numPr>
          <w:ilvl w:val="0"/>
          <w:numId w:val="7"/>
        </w:numPr>
        <w:spacing w:before="120" w:beforeAutospacing="0" w:line="242" w:lineRule="atLeast"/>
        <w:ind w:left="714" w:hanging="357"/>
        <w:rPr>
          <w:rFonts w:ascii="Arial" w:hAnsi="Arial" w:cs="Arial"/>
          <w:sz w:val="22"/>
          <w:szCs w:val="22"/>
          <w:lang w:val="es-ES"/>
        </w:rPr>
      </w:pPr>
      <w:r w:rsidRPr="00B7033D">
        <w:rPr>
          <w:rFonts w:ascii="Arial" w:hAnsi="Arial" w:cs="Arial"/>
          <w:sz w:val="22"/>
          <w:szCs w:val="22"/>
          <w:lang w:val="es-ES"/>
        </w:rPr>
        <w:t xml:space="preserve">Para gastos previstos en el futuro: </w:t>
      </w:r>
      <w:r w:rsidRPr="00B7033D">
        <w:rPr>
          <w:rFonts w:ascii="Arial" w:hAnsi="Arial" w:cs="Arial"/>
          <w:sz w:val="22"/>
          <w:szCs w:val="22"/>
          <w:highlight w:val="yellow"/>
          <w:lang w:val="es-ES"/>
        </w:rPr>
        <w:t>[</w:t>
      </w:r>
      <w:r w:rsidRPr="00B7033D">
        <w:rPr>
          <w:rFonts w:ascii="Arial" w:hAnsi="Arial" w:cs="Arial"/>
          <w:i/>
          <w:iCs/>
          <w:sz w:val="22"/>
          <w:szCs w:val="22"/>
          <w:highlight w:val="yellow"/>
          <w:lang w:val="es-ES"/>
        </w:rPr>
        <w:t>Ejemplos:</w:t>
      </w:r>
      <w:r w:rsidRPr="00B7033D">
        <w:rPr>
          <w:rFonts w:ascii="Arial" w:hAnsi="Arial" w:cs="Arial"/>
          <w:sz w:val="22"/>
          <w:szCs w:val="22"/>
          <w:highlight w:val="yellow"/>
          <w:lang w:val="es-ES"/>
        </w:rPr>
        <w:t xml:space="preserve"> presupuestos publicados oficialmente, marcos de gasto a medio plazo, informes de cuantificación o planes de adquisición de productos, etc.]</w:t>
      </w:r>
    </w:p>
    <w:p w14:paraId="0A556BEB" w14:textId="77777777" w:rsidR="00D73717" w:rsidRPr="00B7033D" w:rsidRDefault="004C144A" w:rsidP="002D3AE6">
      <w:pPr>
        <w:spacing w:before="120" w:line="242" w:lineRule="atLeast"/>
        <w:rPr>
          <w:rFonts w:ascii="Arial" w:hAnsi="Arial" w:cs="Arial"/>
          <w:lang w:val="es-ES"/>
        </w:rPr>
      </w:pPr>
      <w:r w:rsidRPr="00B7033D">
        <w:rPr>
          <w:rFonts w:ascii="Arial" w:hAnsi="Arial" w:cs="Arial"/>
          <w:lang w:val="es-ES"/>
        </w:rPr>
        <w:t xml:space="preserve">Recopilaremos y notificaremos </w:t>
      </w:r>
      <w:r w:rsidRPr="00B7033D">
        <w:rPr>
          <w:rFonts w:ascii="Arial" w:hAnsi="Arial" w:cs="Arial"/>
          <w:highlight w:val="yellow"/>
          <w:lang w:val="es-ES"/>
        </w:rPr>
        <w:t>anualmente</w:t>
      </w:r>
      <w:r w:rsidRPr="00B7033D">
        <w:rPr>
          <w:rFonts w:ascii="Arial" w:hAnsi="Arial" w:cs="Arial"/>
          <w:lang w:val="es-ES"/>
        </w:rPr>
        <w:t xml:space="preserve"> al Fondo Mundial datos de gastos y presupuestarios en relación con estos compromisos. Presentaremos al Fondo Mundial un informe de cofinanciamiento cada año el día </w:t>
      </w:r>
      <w:r w:rsidRPr="00B7033D">
        <w:rPr>
          <w:rFonts w:ascii="Arial" w:hAnsi="Arial" w:cs="Arial"/>
          <w:highlight w:val="yellow"/>
          <w:lang w:val="es-ES"/>
        </w:rPr>
        <w:t>XXX</w:t>
      </w:r>
      <w:r w:rsidRPr="00B7033D">
        <w:rPr>
          <w:rFonts w:ascii="Arial" w:hAnsi="Arial" w:cs="Arial"/>
          <w:lang w:val="es-ES"/>
        </w:rPr>
        <w:t xml:space="preserve"> para cubrir el período anual que comienza el </w:t>
      </w:r>
      <w:r w:rsidRPr="00B7033D">
        <w:rPr>
          <w:rFonts w:ascii="Arial" w:hAnsi="Arial" w:cs="Arial"/>
          <w:highlight w:val="yellow"/>
          <w:lang w:val="es-ES"/>
        </w:rPr>
        <w:t>YYY</w:t>
      </w:r>
      <w:r w:rsidRPr="00B7033D">
        <w:rPr>
          <w:rFonts w:ascii="Arial" w:hAnsi="Arial" w:cs="Arial"/>
          <w:lang w:val="es-ES"/>
        </w:rPr>
        <w:t xml:space="preserve"> y termina el </w:t>
      </w:r>
      <w:r w:rsidRPr="00B7033D">
        <w:rPr>
          <w:rFonts w:ascii="Arial" w:hAnsi="Arial" w:cs="Arial"/>
          <w:highlight w:val="yellow"/>
          <w:lang w:val="es-ES"/>
        </w:rPr>
        <w:t>ZZZ</w:t>
      </w:r>
      <w:r w:rsidRPr="00B7033D">
        <w:rPr>
          <w:rFonts w:ascii="Arial" w:hAnsi="Arial" w:cs="Arial"/>
          <w:lang w:val="es-ES"/>
        </w:rPr>
        <w:t xml:space="preserve">. El calendario de presentación de informes se describe en la siguiente tabla. </w:t>
      </w:r>
    </w:p>
    <w:p w14:paraId="0A556BEC" w14:textId="77777777" w:rsidR="00EF0E1A" w:rsidRPr="00B7033D" w:rsidRDefault="00EF0E1A" w:rsidP="002D3AE6">
      <w:pPr>
        <w:spacing w:before="120" w:line="242" w:lineRule="atLeast"/>
        <w:rPr>
          <w:rFonts w:ascii="Arial" w:hAnsi="Arial" w:cs="Arial"/>
          <w:lang w:val="es-ES"/>
        </w:rPr>
      </w:pPr>
    </w:p>
    <w:p w14:paraId="0A556BEE" w14:textId="77777777" w:rsidR="00EF0E1A" w:rsidRPr="00B7033D" w:rsidRDefault="00EF0E1A" w:rsidP="002D3AE6">
      <w:pPr>
        <w:spacing w:before="120" w:line="242" w:lineRule="atLeast"/>
        <w:rPr>
          <w:rFonts w:ascii="Arial" w:hAnsi="Arial" w:cs="Arial"/>
          <w:lang w:val="es-ES"/>
        </w:rPr>
      </w:pPr>
    </w:p>
    <w:p w14:paraId="0A556BEF" w14:textId="77777777" w:rsidR="006F72AE" w:rsidRPr="00B7033D" w:rsidRDefault="00D1048C" w:rsidP="002D3AE6">
      <w:pPr>
        <w:spacing w:before="120" w:line="242" w:lineRule="atLeast"/>
        <w:rPr>
          <w:rFonts w:ascii="Arial" w:hAnsi="Arial" w:cs="Arial"/>
          <w:lang w:val="es-ES"/>
        </w:rPr>
      </w:pPr>
      <w:r w:rsidRPr="00B7033D">
        <w:rPr>
          <w:rFonts w:ascii="Arial" w:hAnsi="Arial" w:cs="Arial"/>
          <w:b/>
          <w:bCs/>
          <w:lang w:val="es-ES"/>
        </w:rPr>
        <w:t xml:space="preserve">Monitoreo y presentación de informes de cofinanciamiento para el período de asignación 2023-2025 </w:t>
      </w:r>
      <w:r w:rsidRPr="00B7033D">
        <w:rPr>
          <w:rFonts w:ascii="Arial" w:hAnsi="Arial" w:cs="Arial"/>
          <w:b/>
          <w:bCs/>
          <w:i/>
          <w:iCs/>
          <w:lang w:val="es-ES"/>
        </w:rPr>
        <w:t>(ejemplo)</w:t>
      </w:r>
    </w:p>
    <w:p w14:paraId="0A556BF0" w14:textId="77777777" w:rsidR="00D1048C" w:rsidRPr="00B7033D" w:rsidRDefault="00D1048C" w:rsidP="002D3AE6">
      <w:pPr>
        <w:spacing w:before="120" w:line="242" w:lineRule="atLeast"/>
        <w:rPr>
          <w:rFonts w:ascii="Arial" w:hAnsi="Arial" w:cs="Arial"/>
          <w:lang w:val="es-ES"/>
        </w:rPr>
      </w:pP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5246"/>
      </w:tblGrid>
      <w:tr w:rsidR="00B64222" w:rsidRPr="00B7033D" w14:paraId="0A556BF3"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0A556BF1" w14:textId="77777777" w:rsidR="002D3AE6" w:rsidRPr="00B7033D" w:rsidRDefault="002D3AE6" w:rsidP="00B64222">
            <w:pPr>
              <w:spacing w:before="120" w:line="242" w:lineRule="atLeast"/>
              <w:rPr>
                <w:rFonts w:ascii="Arial" w:hAnsi="Arial" w:cs="Arial"/>
                <w:b/>
                <w:bCs/>
                <w:sz w:val="20"/>
                <w:szCs w:val="20"/>
                <w:lang w:val="es-ES"/>
              </w:rPr>
            </w:pPr>
            <w:r w:rsidRPr="00B7033D">
              <w:rPr>
                <w:rFonts w:ascii="Arial" w:hAnsi="Arial" w:cs="Arial"/>
                <w:b/>
                <w:bCs/>
                <w:sz w:val="20"/>
                <w:szCs w:val="20"/>
                <w:lang w:val="es-ES"/>
              </w:rPr>
              <w:t>Fecha</w:t>
            </w:r>
          </w:p>
        </w:tc>
        <w:tc>
          <w:tcPr>
            <w:tcW w:w="5246"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0A556BF2" w14:textId="77777777" w:rsidR="002D3AE6" w:rsidRPr="00B7033D" w:rsidRDefault="002D3AE6" w:rsidP="00B64222">
            <w:pPr>
              <w:spacing w:before="120" w:line="242" w:lineRule="atLeast"/>
              <w:rPr>
                <w:rFonts w:ascii="Arial" w:hAnsi="Arial" w:cs="Arial"/>
                <w:b/>
                <w:bCs/>
                <w:sz w:val="20"/>
                <w:szCs w:val="20"/>
                <w:lang w:val="es-ES"/>
              </w:rPr>
            </w:pPr>
            <w:r w:rsidRPr="00B7033D">
              <w:rPr>
                <w:rFonts w:ascii="Arial" w:hAnsi="Arial" w:cs="Arial"/>
                <w:b/>
                <w:bCs/>
                <w:sz w:val="20"/>
                <w:szCs w:val="20"/>
                <w:lang w:val="es-ES"/>
              </w:rPr>
              <w:t>Información necesaria (ejemplo)</w:t>
            </w:r>
          </w:p>
        </w:tc>
      </w:tr>
      <w:tr w:rsidR="00B64222" w:rsidRPr="008E5C32" w14:paraId="0A556BF6"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56BF4" w14:textId="77777777" w:rsidR="002D3AE6" w:rsidRPr="00B7033D" w:rsidRDefault="006F72AE" w:rsidP="00B64222">
            <w:pPr>
              <w:spacing w:before="120" w:line="242" w:lineRule="atLeast"/>
              <w:rPr>
                <w:rFonts w:ascii="Arial" w:hAnsi="Arial" w:cs="Arial"/>
                <w:sz w:val="20"/>
                <w:szCs w:val="20"/>
                <w:lang w:val="es-ES"/>
              </w:rPr>
            </w:pPr>
            <w:r w:rsidRPr="00B7033D">
              <w:rPr>
                <w:rFonts w:ascii="Arial" w:hAnsi="Arial" w:cs="Arial"/>
                <w:sz w:val="20"/>
                <w:szCs w:val="20"/>
                <w:lang w:val="es-ES"/>
              </w:rPr>
              <w:t>Día-mes-año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56BF5" w14:textId="77777777" w:rsidR="002D3AE6" w:rsidRPr="00B7033D" w:rsidRDefault="002D3AE6" w:rsidP="00B64222">
            <w:pPr>
              <w:spacing w:before="120" w:line="242" w:lineRule="atLeast"/>
              <w:rPr>
                <w:rFonts w:ascii="Arial" w:hAnsi="Arial" w:cs="Arial"/>
                <w:sz w:val="20"/>
                <w:szCs w:val="20"/>
                <w:lang w:val="es-ES"/>
              </w:rPr>
            </w:pPr>
            <w:r w:rsidRPr="00B7033D">
              <w:rPr>
                <w:rFonts w:ascii="Arial" w:hAnsi="Arial" w:cs="Arial"/>
                <w:sz w:val="20"/>
                <w:szCs w:val="20"/>
                <w:lang w:val="es-ES"/>
              </w:rPr>
              <w:t>Presupuesto oficial del gobierno aprobado e informe sobre la presupuestación de los compromisos del año 1</w:t>
            </w:r>
          </w:p>
        </w:tc>
      </w:tr>
      <w:tr w:rsidR="00BC60C8" w:rsidRPr="008E5C32" w14:paraId="0A556BF9"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A556BF7"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Día-mes-año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56BF8"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Presupuesto oficial del gobierno aprobado e informe sobre la presupuestación de los compromisos del año 2</w:t>
            </w:r>
          </w:p>
        </w:tc>
      </w:tr>
      <w:tr w:rsidR="00BC60C8" w:rsidRPr="008E5C32" w14:paraId="0A556BFC"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A556BFA"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Día-mes-año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56BFB"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Informe de monitoreo del cofinanciamiento sobre la ejecución de los compromisos del año 1, órdenes de compra relacionadas con los compromisos programáticos</w:t>
            </w:r>
          </w:p>
        </w:tc>
      </w:tr>
      <w:tr w:rsidR="00BC60C8" w:rsidRPr="008E5C32" w14:paraId="0A556BFF"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A556BFD"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Día-mes-año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56BFE"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Presupuesto oficial del gobierno aprobado e informe sobre la presupuestación de los compromisos del año 3</w:t>
            </w:r>
          </w:p>
        </w:tc>
      </w:tr>
      <w:tr w:rsidR="00BC60C8" w:rsidRPr="008E5C32" w14:paraId="0A556C02"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A556C00"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Día-mes-año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56C01"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Informe de monitoreo del cofinanciamiento sobre la ejecución de los compromisos del año 2, órdenes de compra relacionadas con los compromisos programáticos</w:t>
            </w:r>
          </w:p>
        </w:tc>
      </w:tr>
      <w:tr w:rsidR="00BC60C8" w:rsidRPr="008E5C32" w14:paraId="0A556C05" w14:textId="77777777" w:rsidTr="00DA7332">
        <w:trPr>
          <w:trHeight w:val="10"/>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0A556C03"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Día-mes-año</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56C04" w14:textId="77777777" w:rsidR="00BC60C8" w:rsidRPr="00B7033D" w:rsidRDefault="00BC60C8" w:rsidP="00BC60C8">
            <w:pPr>
              <w:spacing w:before="120" w:line="242" w:lineRule="atLeast"/>
              <w:rPr>
                <w:rFonts w:ascii="Arial" w:hAnsi="Arial" w:cs="Arial"/>
                <w:sz w:val="20"/>
                <w:szCs w:val="20"/>
                <w:lang w:val="es-ES"/>
              </w:rPr>
            </w:pPr>
            <w:r w:rsidRPr="00B7033D">
              <w:rPr>
                <w:rFonts w:ascii="Arial" w:hAnsi="Arial" w:cs="Arial"/>
                <w:sz w:val="20"/>
                <w:szCs w:val="20"/>
                <w:lang w:val="es-ES"/>
              </w:rPr>
              <w:t>Informe de monitoreo del cofinanciamiento sobre la ejecución de los compromisos del año 3, órdenes de compra relacionadas con los compromisos programáticos</w:t>
            </w:r>
          </w:p>
        </w:tc>
      </w:tr>
    </w:tbl>
    <w:p w14:paraId="0A556C06" w14:textId="77777777" w:rsidR="0005235F" w:rsidRDefault="00CF19A1" w:rsidP="00F96E51">
      <w:pPr>
        <w:spacing w:before="120" w:line="242" w:lineRule="atLeast"/>
        <w:rPr>
          <w:rFonts w:ascii="Arial" w:hAnsi="Arial" w:cs="Arial"/>
          <w:lang w:val="es-ES"/>
        </w:rPr>
      </w:pPr>
      <w:r w:rsidRPr="00B7033D">
        <w:rPr>
          <w:rFonts w:ascii="Arial" w:hAnsi="Arial" w:cs="Arial"/>
          <w:lang w:val="es-ES"/>
        </w:rPr>
        <w:t xml:space="preserve">Reconocemos y aceptamos que si </w:t>
      </w:r>
      <w:r w:rsidRPr="00B7033D">
        <w:rPr>
          <w:rFonts w:ascii="Arial" w:hAnsi="Arial" w:cs="Arial"/>
          <w:highlight w:val="yellow"/>
          <w:lang w:val="es-ES"/>
        </w:rPr>
        <w:t>[país]</w:t>
      </w:r>
      <w:r w:rsidRPr="00B7033D">
        <w:rPr>
          <w:rFonts w:ascii="Arial" w:hAnsi="Arial" w:cs="Arial"/>
          <w:lang w:val="es-ES"/>
        </w:rPr>
        <w:t xml:space="preserve"> incumple estos compromisos de cofinanciamiento durante el período de asignación 2023-2025, el Fondo Mundial podría reducir el financiamiento de la asignación de las subvenciones existentes o del período de asignación 2026-2028 (si corresponde).</w:t>
      </w:r>
    </w:p>
    <w:p w14:paraId="3D30831C" w14:textId="063E3B3A" w:rsidR="008E5C32" w:rsidRPr="008E5C32" w:rsidRDefault="008E5C32" w:rsidP="00F96E51">
      <w:pPr>
        <w:spacing w:before="120" w:line="242" w:lineRule="atLeast"/>
        <w:rPr>
          <w:rFonts w:ascii="Arial" w:eastAsia="Times New Roman" w:hAnsi="Arial" w:cs="Arial"/>
          <w:lang w:val="es-ES"/>
        </w:rPr>
      </w:pPr>
      <w:r w:rsidRPr="00627573">
        <w:rPr>
          <w:rFonts w:ascii="Arial" w:eastAsia="Times New Roman" w:hAnsi="Arial" w:cs="Arial"/>
          <w:lang w:val="es-ES"/>
        </w:rPr>
        <w:t>También reconocemos y aceptamos que el Fondo Mundial tiene derecho a publicar y a difundir libremente el contenido de la presente carta (y de sus documentos adjuntos) sin restricción alguna.</w:t>
      </w:r>
    </w:p>
    <w:p w14:paraId="0A556C07" w14:textId="77777777" w:rsidR="00DF30D3" w:rsidRPr="00B7033D" w:rsidRDefault="00DF30D3" w:rsidP="00F96E51">
      <w:pPr>
        <w:spacing w:before="120" w:line="242" w:lineRule="atLeast"/>
        <w:rPr>
          <w:rFonts w:ascii="Arial" w:eastAsia="Times New Roman" w:hAnsi="Arial" w:cs="Arial"/>
          <w:lang w:val="es-ES"/>
        </w:rPr>
      </w:pPr>
      <w:r w:rsidRPr="00B7033D">
        <w:rPr>
          <w:rFonts w:ascii="Arial" w:eastAsia="Times New Roman" w:hAnsi="Arial" w:cs="Arial"/>
          <w:lang w:val="es-ES"/>
        </w:rPr>
        <w:t>Asimismo, seguiremos colaborando con el Equipo de País del Fondo Mundial y con los Especialistas en Financiamiento de la Salud para evaluar nuestros avances hasta la fecha con relación al cumplimiento de los compromisos de cofinanciamiento que hemos adoptado para el actual período de asignación 2020-2022.</w:t>
      </w:r>
    </w:p>
    <w:p w14:paraId="0A556C08" w14:textId="77777777" w:rsidR="00DF30D3" w:rsidRPr="00B7033D" w:rsidRDefault="00DF30D3" w:rsidP="00F96E51">
      <w:pPr>
        <w:spacing w:before="120" w:line="242" w:lineRule="atLeast"/>
        <w:rPr>
          <w:rFonts w:ascii="Arial" w:hAnsi="Arial" w:cs="Arial"/>
          <w:lang w:val="es-ES"/>
        </w:rPr>
      </w:pPr>
    </w:p>
    <w:p w14:paraId="0A556C09" w14:textId="77777777" w:rsidR="00632E1F" w:rsidRPr="00B7033D" w:rsidRDefault="00E8739A" w:rsidP="00333D33">
      <w:pPr>
        <w:spacing w:line="242" w:lineRule="atLeast"/>
        <w:rPr>
          <w:rFonts w:ascii="Arial" w:eastAsia="Times New Roman" w:hAnsi="Arial" w:cs="Arial"/>
          <w:lang w:val="es-ES"/>
        </w:rPr>
      </w:pPr>
      <w:r w:rsidRPr="00B7033D">
        <w:rPr>
          <w:rFonts w:ascii="Arial" w:eastAsia="Times New Roman" w:hAnsi="Arial" w:cs="Arial"/>
          <w:lang w:val="es-ES"/>
        </w:rPr>
        <w:t>Atentamente,</w:t>
      </w:r>
    </w:p>
    <w:p w14:paraId="0A556C0A" w14:textId="77777777" w:rsidR="006F72AE" w:rsidRPr="00B7033D" w:rsidRDefault="006F72AE" w:rsidP="00333D33">
      <w:pPr>
        <w:spacing w:line="242" w:lineRule="atLeast"/>
        <w:rPr>
          <w:rFonts w:ascii="Arial" w:eastAsia="Times New Roman" w:hAnsi="Arial" w:cs="Arial"/>
          <w:lang w:val="es-ES"/>
        </w:rPr>
      </w:pPr>
    </w:p>
    <w:p w14:paraId="0A556C0B" w14:textId="77777777" w:rsidR="00320AA0" w:rsidRPr="00B7033D" w:rsidRDefault="00320AA0" w:rsidP="00333D33">
      <w:pPr>
        <w:spacing w:line="242" w:lineRule="atLeast"/>
        <w:rPr>
          <w:rFonts w:ascii="Arial" w:eastAsia="Times New Roman" w:hAnsi="Arial" w:cs="Arial"/>
          <w:lang w:val="es-ES"/>
        </w:rPr>
      </w:pPr>
    </w:p>
    <w:p w14:paraId="0A556C0C" w14:textId="77777777" w:rsidR="00A77F59" w:rsidRPr="00B7033D" w:rsidRDefault="00A77F59" w:rsidP="00333D33">
      <w:pPr>
        <w:spacing w:line="242" w:lineRule="atLeast"/>
        <w:rPr>
          <w:rFonts w:ascii="Arial" w:eastAsia="Times New Roman" w:hAnsi="Arial" w:cs="Arial"/>
          <w:lang w:val="es-ES"/>
        </w:rPr>
      </w:pPr>
    </w:p>
    <w:p w14:paraId="0A556C0D" w14:textId="77777777" w:rsidR="00EF0E1A" w:rsidRPr="00B7033D" w:rsidRDefault="00EF0E1A" w:rsidP="00333D33">
      <w:pPr>
        <w:spacing w:line="242" w:lineRule="atLeast"/>
        <w:rPr>
          <w:rFonts w:ascii="Arial" w:eastAsia="Times New Roman" w:hAnsi="Arial" w:cs="Arial"/>
          <w:lang w:val="es-ES"/>
        </w:rPr>
      </w:pPr>
    </w:p>
    <w:p w14:paraId="0A556C0E" w14:textId="77777777" w:rsidR="00333D33" w:rsidRPr="00B7033D" w:rsidRDefault="00A371C5" w:rsidP="00333D33">
      <w:pPr>
        <w:spacing w:line="242" w:lineRule="atLeast"/>
        <w:rPr>
          <w:rFonts w:ascii="Arial" w:eastAsia="Times New Roman" w:hAnsi="Arial" w:cs="Arial"/>
          <w:lang w:val="es-ES"/>
        </w:rPr>
      </w:pPr>
      <w:r w:rsidRPr="00B7033D">
        <w:rPr>
          <w:rFonts w:ascii="Arial" w:eastAsia="Times New Roman" w:hAnsi="Arial" w:cs="Arial"/>
          <w:lang w:val="es-ES"/>
        </w:rPr>
        <w:t xml:space="preserve">Firma de </w:t>
      </w:r>
      <w:r w:rsidRPr="00B7033D">
        <w:rPr>
          <w:rFonts w:ascii="Arial" w:eastAsia="Times New Roman" w:hAnsi="Arial" w:cs="Arial"/>
          <w:highlight w:val="yellow"/>
          <w:lang w:val="es-ES"/>
        </w:rPr>
        <w:t>[autoridad facultada para tomar decisiones sobre el presupuesto, por ejemplo, el Ministerio de Finanzas o la autoridad presupuestaria]</w:t>
      </w:r>
    </w:p>
    <w:p w14:paraId="0A556C0F" w14:textId="77777777" w:rsidR="00333D33" w:rsidRPr="00B7033D" w:rsidRDefault="00A371C5" w:rsidP="00333D33">
      <w:pPr>
        <w:spacing w:line="242" w:lineRule="atLeast"/>
        <w:rPr>
          <w:rFonts w:ascii="Arial" w:eastAsia="Times New Roman" w:hAnsi="Arial" w:cs="Arial"/>
          <w:lang w:val="es-ES"/>
        </w:rPr>
      </w:pPr>
      <w:r w:rsidRPr="00B7033D">
        <w:rPr>
          <w:rFonts w:ascii="Arial" w:eastAsia="Times New Roman" w:hAnsi="Arial" w:cs="Arial"/>
          <w:lang w:val="es-ES"/>
        </w:rPr>
        <w:t>Firma conjunta del Ministerio de Salud y/u otras autoridades (según corresponda)</w:t>
      </w:r>
    </w:p>
    <w:p w14:paraId="0A556C10" w14:textId="77777777" w:rsidR="00EF0E1A" w:rsidRPr="00B7033D" w:rsidRDefault="00EF0E1A" w:rsidP="00333D33">
      <w:pPr>
        <w:spacing w:line="242" w:lineRule="atLeast"/>
        <w:rPr>
          <w:rFonts w:ascii="Arial" w:eastAsia="Times New Roman" w:hAnsi="Arial" w:cs="Arial"/>
          <w:lang w:val="es-ES"/>
        </w:rPr>
      </w:pPr>
    </w:p>
    <w:p w14:paraId="0A556C11" w14:textId="77777777" w:rsidR="00EF0E1A" w:rsidRPr="00B7033D" w:rsidRDefault="00EF0E1A" w:rsidP="00333D33">
      <w:pPr>
        <w:spacing w:line="242" w:lineRule="atLeast"/>
        <w:rPr>
          <w:rFonts w:ascii="Arial" w:eastAsia="Times New Roman" w:hAnsi="Arial" w:cs="Arial"/>
          <w:lang w:val="es-ES"/>
        </w:rPr>
      </w:pPr>
    </w:p>
    <w:p w14:paraId="0A556C12" w14:textId="77777777" w:rsidR="00EF0E1A" w:rsidRPr="00B7033D" w:rsidRDefault="00EF0E1A" w:rsidP="00333D33">
      <w:pPr>
        <w:spacing w:line="242" w:lineRule="atLeast"/>
        <w:rPr>
          <w:rFonts w:ascii="Arial" w:eastAsia="Times New Roman" w:hAnsi="Arial" w:cs="Arial"/>
          <w:lang w:val="es-ES"/>
        </w:rPr>
      </w:pPr>
    </w:p>
    <w:p w14:paraId="0A556C13" w14:textId="77777777" w:rsidR="0088751F" w:rsidRPr="00B7033D" w:rsidRDefault="00B92521" w:rsidP="00333D33">
      <w:pPr>
        <w:spacing w:line="242" w:lineRule="atLeast"/>
        <w:rPr>
          <w:rFonts w:ascii="Arial" w:eastAsia="Times New Roman" w:hAnsi="Arial" w:cs="Arial"/>
          <w:lang w:val="es-ES"/>
        </w:rPr>
      </w:pPr>
      <w:r w:rsidRPr="00B7033D">
        <w:rPr>
          <w:rFonts w:ascii="Arial" w:eastAsia="Times New Roman" w:hAnsi="Arial" w:cs="Arial"/>
          <w:lang w:val="es-ES"/>
        </w:rPr>
        <w:tab/>
      </w:r>
      <w:r w:rsidRPr="00B7033D">
        <w:rPr>
          <w:rFonts w:ascii="Arial" w:eastAsia="Times New Roman" w:hAnsi="Arial" w:cs="Arial"/>
          <w:lang w:val="es-ES"/>
        </w:rPr>
        <w:tab/>
      </w:r>
    </w:p>
    <w:p w14:paraId="0A556C14" w14:textId="77777777" w:rsidR="0054411B" w:rsidRPr="00B7033D" w:rsidRDefault="21ED58C7" w:rsidP="006F72AE">
      <w:pPr>
        <w:rPr>
          <w:rFonts w:ascii="Arial" w:eastAsia="Times New Roman" w:hAnsi="Arial" w:cs="Arial"/>
          <w:lang w:val="es-ES"/>
        </w:rPr>
      </w:pPr>
      <w:r w:rsidRPr="00B7033D">
        <w:rPr>
          <w:rFonts w:ascii="Arial" w:eastAsia="Times New Roman" w:hAnsi="Arial" w:cs="Arial"/>
          <w:b/>
          <w:bCs/>
          <w:lang w:val="es-ES"/>
        </w:rPr>
        <w:t>ANEXOS (ejemplo):</w:t>
      </w:r>
      <w:r w:rsidRPr="00B7033D">
        <w:rPr>
          <w:rFonts w:ascii="Arial" w:eastAsia="Times New Roman" w:hAnsi="Arial" w:cs="Arial"/>
          <w:lang w:val="es-ES"/>
        </w:rPr>
        <w:t xml:space="preserve"> Información adicional sobre los compromisos para la nueva subvención y desempeño de la subvención vigente, por ejemplo:</w:t>
      </w:r>
    </w:p>
    <w:p w14:paraId="0A556C15" w14:textId="77777777" w:rsidR="006F72AE" w:rsidRPr="00B7033D" w:rsidRDefault="006F72AE" w:rsidP="006F72AE">
      <w:pPr>
        <w:pStyle w:val="ListParagraph"/>
        <w:numPr>
          <w:ilvl w:val="0"/>
          <w:numId w:val="17"/>
        </w:numPr>
        <w:spacing w:before="0" w:beforeAutospacing="0" w:after="0" w:afterAutospacing="0"/>
        <w:rPr>
          <w:rFonts w:ascii="Arial" w:hAnsi="Arial" w:cs="Arial"/>
          <w:sz w:val="22"/>
          <w:szCs w:val="22"/>
          <w:lang w:val="es-ES"/>
        </w:rPr>
      </w:pPr>
      <w:r w:rsidRPr="00B7033D">
        <w:rPr>
          <w:rFonts w:ascii="Arial" w:hAnsi="Arial" w:cs="Arial"/>
          <w:sz w:val="22"/>
          <w:szCs w:val="22"/>
          <w:lang w:val="es-ES"/>
        </w:rPr>
        <w:t xml:space="preserve">Documentación sobre los compromisos del período de asignación 2023-2025 (presupuestos ministeriales para compromisos específicos, previsiones de productos sanitarios, etc.) </w:t>
      </w:r>
    </w:p>
    <w:p w14:paraId="0A556C16" w14:textId="77777777" w:rsidR="49CDE75C" w:rsidRPr="00B7033D" w:rsidRDefault="006F72AE" w:rsidP="006F72AE">
      <w:pPr>
        <w:pStyle w:val="ListParagraph"/>
        <w:numPr>
          <w:ilvl w:val="0"/>
          <w:numId w:val="17"/>
        </w:numPr>
        <w:spacing w:before="0" w:beforeAutospacing="0" w:after="0" w:afterAutospacing="0"/>
        <w:rPr>
          <w:rFonts w:ascii="Arial" w:hAnsi="Arial" w:cs="Arial"/>
          <w:sz w:val="22"/>
          <w:szCs w:val="22"/>
          <w:lang w:val="es-ES"/>
        </w:rPr>
      </w:pPr>
      <w:r w:rsidRPr="00B7033D">
        <w:rPr>
          <w:rFonts w:ascii="Arial" w:hAnsi="Arial" w:cs="Arial"/>
          <w:sz w:val="22"/>
          <w:szCs w:val="22"/>
          <w:lang w:val="es-ES"/>
        </w:rPr>
        <w:t>Tablas detalladas con datos actuales sobre el gasto en cada año de la subvención actual para los programas pertinentes o compromisos específicos.</w:t>
      </w:r>
      <w:bookmarkEnd w:id="0"/>
    </w:p>
    <w:p w14:paraId="0A556C17" w14:textId="77777777" w:rsidR="3E1FCAEC" w:rsidRPr="00B7033D" w:rsidRDefault="3E1FCAEC" w:rsidP="3E1FCAEC">
      <w:pPr>
        <w:spacing w:line="242" w:lineRule="atLeast"/>
        <w:rPr>
          <w:rFonts w:ascii="Arial" w:eastAsia="Times New Roman" w:hAnsi="Arial" w:cs="Arial"/>
          <w:lang w:val="es-ES"/>
        </w:rPr>
      </w:pPr>
    </w:p>
    <w:p w14:paraId="0A556C18" w14:textId="77777777" w:rsidR="004F3884" w:rsidRPr="00B7033D" w:rsidRDefault="004F3884">
      <w:pPr>
        <w:spacing w:after="160" w:line="259" w:lineRule="auto"/>
        <w:rPr>
          <w:rFonts w:ascii="Arial" w:eastAsia="Times New Roman" w:hAnsi="Arial" w:cs="Arial"/>
          <w:lang w:val="es-ES"/>
        </w:rPr>
      </w:pPr>
      <w:r w:rsidRPr="00B7033D">
        <w:rPr>
          <w:rFonts w:ascii="Arial" w:eastAsia="Times New Roman" w:hAnsi="Arial" w:cs="Arial"/>
          <w:lang w:val="es-ES"/>
        </w:rPr>
        <w:br w:type="page"/>
      </w:r>
    </w:p>
    <w:p w14:paraId="0A556C19" w14:textId="77777777" w:rsidR="004F3884" w:rsidRPr="00B7033D" w:rsidRDefault="00E37CF1" w:rsidP="004449C2">
      <w:pPr>
        <w:spacing w:after="120"/>
        <w:rPr>
          <w:rFonts w:ascii="Arial" w:eastAsia="Times New Roman" w:hAnsi="Arial" w:cs="Arial"/>
          <w:b/>
          <w:bCs/>
          <w:lang w:val="es-ES"/>
        </w:rPr>
      </w:pPr>
      <w:r w:rsidRPr="00B7033D">
        <w:rPr>
          <w:rFonts w:ascii="Arial" w:eastAsia="Times New Roman" w:hAnsi="Arial" w:cs="Arial"/>
          <w:b/>
          <w:bCs/>
          <w:lang w:val="es-ES"/>
        </w:rPr>
        <w:lastRenderedPageBreak/>
        <w:t>Anexo: Indicaciones sobre la plantilla de la carta de compromiso</w:t>
      </w:r>
    </w:p>
    <w:p w14:paraId="0A556C1A" w14:textId="77777777" w:rsidR="00BC6D44" w:rsidRPr="00B7033D" w:rsidRDefault="00607BA6" w:rsidP="004449C2">
      <w:pPr>
        <w:pStyle w:val="ListParagraph"/>
        <w:numPr>
          <w:ilvl w:val="0"/>
          <w:numId w:val="13"/>
        </w:numPr>
        <w:spacing w:after="120" w:afterAutospacing="0"/>
        <w:rPr>
          <w:rFonts w:ascii="Arial" w:hAnsi="Arial" w:cs="Arial"/>
          <w:sz w:val="22"/>
          <w:szCs w:val="22"/>
          <w:lang w:val="es-ES"/>
        </w:rPr>
      </w:pPr>
      <w:r w:rsidRPr="00B7033D">
        <w:rPr>
          <w:rFonts w:ascii="Arial" w:hAnsi="Arial" w:cs="Arial"/>
          <w:sz w:val="22"/>
          <w:szCs w:val="22"/>
          <w:lang w:val="es-ES"/>
        </w:rPr>
        <w:t>Se recomienda encarecidamente que la carta de compromiso se envíe con el membrete oficial del titular del presupuesto correspondiente.</w:t>
      </w:r>
    </w:p>
    <w:p w14:paraId="0A556C1B" w14:textId="77777777" w:rsidR="00607BA6" w:rsidRPr="00B7033D" w:rsidRDefault="008E5A7E" w:rsidP="004449C2">
      <w:pPr>
        <w:pStyle w:val="ListParagraph"/>
        <w:numPr>
          <w:ilvl w:val="0"/>
          <w:numId w:val="13"/>
        </w:numPr>
        <w:spacing w:after="120" w:afterAutospacing="0"/>
        <w:rPr>
          <w:rFonts w:ascii="Arial" w:hAnsi="Arial" w:cs="Arial"/>
          <w:sz w:val="22"/>
          <w:szCs w:val="22"/>
          <w:lang w:val="es-ES"/>
        </w:rPr>
      </w:pPr>
      <w:r w:rsidRPr="00B7033D">
        <w:rPr>
          <w:rFonts w:ascii="Arial" w:hAnsi="Arial" w:cs="Arial"/>
          <w:sz w:val="22"/>
          <w:szCs w:val="22"/>
          <w:lang w:val="es-ES"/>
        </w:rPr>
        <w:t xml:space="preserve">En aras de la claridad y para mejorar el entendimiento mutuo, recomendamos a los países que utilicen esta plantilla en sus cartas de compromiso. Sin embargo, si no fuera posible, la carta de compromiso debe contener la información solicitada en las secciones 1.1 y 1.2, e incluir el compromiso de proporcionar al Fondo Mundial documentación y evidencias verificables y fiables sobre el gasto de fondos nacionales o, cuando todavía no se disponga de las cifras sobre el gasto, los últimos montos presupuestados. Asimismo, la carta de compromiso deberá estar firmada por la autoridad presupuestaria pertinente. Aunque será necesario adaptar ligeramente las cartas de compromiso en función del contexto nacional, recomendamos seguir esta plantilla en la medida de lo posible. </w:t>
      </w:r>
    </w:p>
    <w:p w14:paraId="0A556C1C" w14:textId="77777777" w:rsidR="00860FC8" w:rsidRPr="00B7033D" w:rsidRDefault="00860FC8" w:rsidP="004449C2">
      <w:pPr>
        <w:pStyle w:val="ListParagraph"/>
        <w:numPr>
          <w:ilvl w:val="0"/>
          <w:numId w:val="13"/>
        </w:numPr>
        <w:spacing w:after="120" w:afterAutospacing="0"/>
        <w:rPr>
          <w:rFonts w:ascii="Arial" w:hAnsi="Arial" w:cs="Arial"/>
          <w:sz w:val="22"/>
          <w:szCs w:val="22"/>
          <w:lang w:val="es-ES"/>
        </w:rPr>
      </w:pPr>
      <w:r w:rsidRPr="00B7033D">
        <w:rPr>
          <w:rFonts w:ascii="Arial" w:hAnsi="Arial" w:cs="Arial"/>
          <w:sz w:val="22"/>
          <w:szCs w:val="22"/>
          <w:lang w:val="es-ES"/>
        </w:rPr>
        <w:t xml:space="preserve">En la sección 1.3 (compromisos programáticos específicos), indique los principales compromisos programáticos a los que el país destinará el gasto nacional, tal como se ha acordado mediante el diálogo con el Fondo Mundial. Estos podrían incluir medicamentos, diagnósticos, mosquiteros, servicios para poblaciones clave y vulnerables, trabajadores de salud comunitarios, prevención del VIH, etc. No se espera que esta sección cubra la totalidad del gasto nacional para las tres enfermedades y los SSRS como se describe en los compromisos de cofinanciamiento generales (sección 1.2). </w:t>
      </w:r>
    </w:p>
    <w:p w14:paraId="0A556C1D" w14:textId="77777777" w:rsidR="00075571" w:rsidRPr="00B7033D" w:rsidRDefault="00075571" w:rsidP="00075571">
      <w:pPr>
        <w:pStyle w:val="ListParagraph"/>
        <w:numPr>
          <w:ilvl w:val="0"/>
          <w:numId w:val="13"/>
        </w:numPr>
        <w:spacing w:after="120" w:afterAutospacing="0"/>
        <w:rPr>
          <w:rFonts w:ascii="Arial" w:hAnsi="Arial" w:cs="Arial"/>
          <w:sz w:val="22"/>
          <w:szCs w:val="22"/>
          <w:lang w:val="es-ES"/>
        </w:rPr>
      </w:pPr>
      <w:r w:rsidRPr="00B7033D">
        <w:rPr>
          <w:rFonts w:ascii="Arial" w:hAnsi="Arial" w:cs="Arial"/>
          <w:sz w:val="22"/>
          <w:szCs w:val="22"/>
          <w:lang w:val="es-ES"/>
        </w:rPr>
        <w:t xml:space="preserve">Tal como se solicita en la plantilla, enumere y adjunte copias de los documentos utilizados como fuente que estén disponibles cuando se finalice la carta de compromiso y se envíe al Fondo Mundial. El Fondo Mundial revisará con atención estos documentos y es posible que desee analizar con el país la calidad y puntualidad de las fuentes clave de los datos presupuestarios y de gastos que se facilitarán regularmente al Fondo Mundial durante la ejecución de la subvención. </w:t>
      </w:r>
    </w:p>
    <w:p w14:paraId="0A556C1E" w14:textId="77777777" w:rsidR="00E37CF1" w:rsidRPr="00B7033D" w:rsidRDefault="00B22CEA" w:rsidP="00E37CF1">
      <w:pPr>
        <w:pStyle w:val="ListParagraph"/>
        <w:numPr>
          <w:ilvl w:val="0"/>
          <w:numId w:val="13"/>
        </w:numPr>
        <w:spacing w:after="120" w:afterAutospacing="0"/>
        <w:rPr>
          <w:rFonts w:ascii="Arial" w:hAnsi="Arial" w:cs="Arial"/>
          <w:sz w:val="22"/>
          <w:szCs w:val="22"/>
          <w:lang w:val="es-ES"/>
        </w:rPr>
      </w:pPr>
      <w:r w:rsidRPr="00B7033D">
        <w:rPr>
          <w:rFonts w:ascii="Arial" w:hAnsi="Arial" w:cs="Arial"/>
          <w:sz w:val="22"/>
          <w:szCs w:val="22"/>
          <w:lang w:val="es-ES"/>
        </w:rPr>
        <w:t>La tabla que figura en la sección 2 (monitoreo y presentación de informes) es ilustrativa. Cada país debe introducir su propia tabla en función de su calendario fiscal y de una evaluación realista de la rapidez con que puede presentar los datos, así como proporcionar en las columnas "fuente" descritas anteriormente información relativa tanto a los compromisos de cofinanciamiento como a los compromisos programáticos específicos.</w:t>
      </w:r>
    </w:p>
    <w:p w14:paraId="0A556C1F" w14:textId="77777777" w:rsidR="00756CAB" w:rsidRPr="00B7033D" w:rsidRDefault="00756CAB" w:rsidP="005223F6">
      <w:pPr>
        <w:spacing w:after="120"/>
        <w:rPr>
          <w:rFonts w:ascii="Arial" w:hAnsi="Arial" w:cs="Arial"/>
          <w:lang w:val="es-ES"/>
        </w:rPr>
      </w:pPr>
    </w:p>
    <w:sectPr w:rsidR="00756CAB" w:rsidRPr="00B7033D" w:rsidSect="0082258E">
      <w:headerReference w:type="default" r:id="rId11"/>
      <w:footerReference w:type="even" r:id="rId12"/>
      <w:footerReference w:type="default" r:id="rId13"/>
      <w:pgSz w:w="11906" w:h="16838"/>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EEE0" w14:textId="77777777" w:rsidR="00E13C09" w:rsidRDefault="00E13C09" w:rsidP="00896475">
      <w:r>
        <w:separator/>
      </w:r>
    </w:p>
  </w:endnote>
  <w:endnote w:type="continuationSeparator" w:id="0">
    <w:p w14:paraId="1ED509CF" w14:textId="77777777" w:rsidR="00E13C09" w:rsidRDefault="00E13C09" w:rsidP="00896475">
      <w:r>
        <w:continuationSeparator/>
      </w:r>
    </w:p>
  </w:endnote>
  <w:endnote w:type="continuationNotice" w:id="1">
    <w:p w14:paraId="2ED97E23" w14:textId="77777777" w:rsidR="00E13C09" w:rsidRDefault="00E1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6C27" w14:textId="77777777" w:rsidR="0019687F" w:rsidRDefault="0019687F">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3</w:t>
    </w:r>
    <w:r>
      <w:rPr>
        <w:rStyle w:val="PageNumber"/>
        <w:lang w:val="es"/>
      </w:rPr>
      <w:fldChar w:fldCharType="end"/>
    </w:r>
  </w:p>
  <w:p w14:paraId="0A556C28" w14:textId="77777777" w:rsidR="0019687F" w:rsidRDefault="0019687F" w:rsidP="00196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4025624"/>
      <w:docPartObj>
        <w:docPartGallery w:val="Page Numbers (Bottom of Page)"/>
        <w:docPartUnique/>
      </w:docPartObj>
    </w:sdtPr>
    <w:sdtEndPr>
      <w:rPr>
        <w:rStyle w:val="PageNumber"/>
      </w:rPr>
    </w:sdtEndPr>
    <w:sdtContent>
      <w:p w14:paraId="0A556C29" w14:textId="77777777" w:rsidR="0019687F" w:rsidRDefault="0019687F">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p>
    </w:sdtContent>
  </w:sdt>
  <w:p w14:paraId="0A556C2A" w14:textId="77777777" w:rsidR="00896475" w:rsidRPr="00CF45F8" w:rsidRDefault="00896475" w:rsidP="0019687F">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BF3E" w14:textId="77777777" w:rsidR="00E13C09" w:rsidRDefault="00E13C09" w:rsidP="00896475">
      <w:r>
        <w:separator/>
      </w:r>
    </w:p>
  </w:footnote>
  <w:footnote w:type="continuationSeparator" w:id="0">
    <w:p w14:paraId="1621BCF1" w14:textId="77777777" w:rsidR="00E13C09" w:rsidRDefault="00E13C09" w:rsidP="00896475">
      <w:r>
        <w:continuationSeparator/>
      </w:r>
    </w:p>
  </w:footnote>
  <w:footnote w:type="continuationNotice" w:id="1">
    <w:p w14:paraId="47A820C0" w14:textId="77777777" w:rsidR="00E13C09" w:rsidRDefault="00E13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6C26" w14:textId="77777777" w:rsidR="00896475" w:rsidRPr="00B7033D" w:rsidRDefault="00896475" w:rsidP="00896475">
    <w:pPr>
      <w:rPr>
        <w:rFonts w:ascii="Arial" w:eastAsia="Times New Roman" w:hAnsi="Arial" w:cs="Arial"/>
        <w:color w:val="000000"/>
        <w:lang w:val="es-ES"/>
      </w:rPr>
    </w:pPr>
    <w:r>
      <w:rPr>
        <w:rFonts w:ascii="Arial" w:hAnsi="Arial" w:cs="Arial"/>
        <w:lang w:val="es"/>
      </w:rPr>
      <w:t xml:space="preserve">[Insertar </w:t>
    </w:r>
    <w:r>
      <w:rPr>
        <w:rFonts w:ascii="Arial" w:hAnsi="Arial" w:cs="Arial"/>
        <w:color w:val="000000"/>
        <w:lang w:val="es"/>
      </w:rPr>
      <w:t>membrete del Ministerio de Finanzas</w:t>
    </w:r>
    <w:r>
      <w:rPr>
        <w:rFonts w:ascii="Arial" w:hAnsi="Arial" w:cs="Arial"/>
        <w:lang w:val="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DDB"/>
    <w:multiLevelType w:val="hybridMultilevel"/>
    <w:tmpl w:val="0DCE0C50"/>
    <w:lvl w:ilvl="0" w:tplc="AC42D3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F46B7"/>
    <w:multiLevelType w:val="hybridMultilevel"/>
    <w:tmpl w:val="4380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3D6D"/>
    <w:multiLevelType w:val="hybridMultilevel"/>
    <w:tmpl w:val="134C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10D29"/>
    <w:multiLevelType w:val="hybridMultilevel"/>
    <w:tmpl w:val="0C22F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92ADD"/>
    <w:multiLevelType w:val="hybridMultilevel"/>
    <w:tmpl w:val="239EB8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9AD6221"/>
    <w:multiLevelType w:val="hybridMultilevel"/>
    <w:tmpl w:val="C0D2B6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22F93"/>
    <w:multiLevelType w:val="hybridMultilevel"/>
    <w:tmpl w:val="8C9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810A8"/>
    <w:multiLevelType w:val="hybridMultilevel"/>
    <w:tmpl w:val="6BD2E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B0FFB"/>
    <w:multiLevelType w:val="hybridMultilevel"/>
    <w:tmpl w:val="627A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5E22BD"/>
    <w:multiLevelType w:val="hybridMultilevel"/>
    <w:tmpl w:val="4BB6DE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E457C7"/>
    <w:multiLevelType w:val="hybridMultilevel"/>
    <w:tmpl w:val="51243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9528F8"/>
    <w:multiLevelType w:val="hybridMultilevel"/>
    <w:tmpl w:val="E72E7F0E"/>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CC5BFF"/>
    <w:multiLevelType w:val="hybridMultilevel"/>
    <w:tmpl w:val="5DAA9D3A"/>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D44E14"/>
    <w:multiLevelType w:val="hybridMultilevel"/>
    <w:tmpl w:val="0B982662"/>
    <w:lvl w:ilvl="0" w:tplc="1DC43DD4">
      <w:start w:val="1"/>
      <w:numFmt w:val="decimal"/>
      <w:lvlText w:val="%1."/>
      <w:lvlJc w:val="left"/>
      <w:pPr>
        <w:ind w:left="360" w:hanging="360"/>
      </w:pPr>
      <w:rPr>
        <w:rFonts w:hint="default"/>
      </w:rPr>
    </w:lvl>
    <w:lvl w:ilvl="1" w:tplc="F2287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A50E62"/>
    <w:multiLevelType w:val="hybridMultilevel"/>
    <w:tmpl w:val="CACC7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B225C"/>
    <w:multiLevelType w:val="hybridMultilevel"/>
    <w:tmpl w:val="92FC5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B2CDE"/>
    <w:multiLevelType w:val="hybridMultilevel"/>
    <w:tmpl w:val="E2E4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83643">
    <w:abstractNumId w:val="4"/>
  </w:num>
  <w:num w:numId="2" w16cid:durableId="1654795139">
    <w:abstractNumId w:val="10"/>
  </w:num>
  <w:num w:numId="3" w16cid:durableId="594636573">
    <w:abstractNumId w:val="5"/>
  </w:num>
  <w:num w:numId="4" w16cid:durableId="2004432131">
    <w:abstractNumId w:val="8"/>
  </w:num>
  <w:num w:numId="5" w16cid:durableId="1559778915">
    <w:abstractNumId w:val="12"/>
  </w:num>
  <w:num w:numId="6" w16cid:durableId="1344866063">
    <w:abstractNumId w:val="11"/>
  </w:num>
  <w:num w:numId="7" w16cid:durableId="472872452">
    <w:abstractNumId w:val="15"/>
  </w:num>
  <w:num w:numId="8" w16cid:durableId="1070618553">
    <w:abstractNumId w:val="16"/>
  </w:num>
  <w:num w:numId="9" w16cid:durableId="1022392643">
    <w:abstractNumId w:val="1"/>
  </w:num>
  <w:num w:numId="10" w16cid:durableId="549002290">
    <w:abstractNumId w:val="13"/>
  </w:num>
  <w:num w:numId="11" w16cid:durableId="1295479626">
    <w:abstractNumId w:val="9"/>
  </w:num>
  <w:num w:numId="12" w16cid:durableId="534470009">
    <w:abstractNumId w:val="0"/>
  </w:num>
  <w:num w:numId="13" w16cid:durableId="257443428">
    <w:abstractNumId w:val="2"/>
  </w:num>
  <w:num w:numId="14" w16cid:durableId="508297582">
    <w:abstractNumId w:val="6"/>
  </w:num>
  <w:num w:numId="15" w16cid:durableId="993265799">
    <w:abstractNumId w:val="3"/>
  </w:num>
  <w:num w:numId="16" w16cid:durableId="1782413792">
    <w:abstractNumId w:val="7"/>
  </w:num>
  <w:num w:numId="17" w16cid:durableId="456218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33"/>
    <w:rsid w:val="00003DD0"/>
    <w:rsid w:val="000047E1"/>
    <w:rsid w:val="000066B6"/>
    <w:rsid w:val="00012D4A"/>
    <w:rsid w:val="00013777"/>
    <w:rsid w:val="0001521A"/>
    <w:rsid w:val="00022D0A"/>
    <w:rsid w:val="00024BB8"/>
    <w:rsid w:val="00024CF3"/>
    <w:rsid w:val="000250C5"/>
    <w:rsid w:val="000255E8"/>
    <w:rsid w:val="00025F16"/>
    <w:rsid w:val="000267DF"/>
    <w:rsid w:val="00027C5E"/>
    <w:rsid w:val="00027D89"/>
    <w:rsid w:val="00027F28"/>
    <w:rsid w:val="0003433C"/>
    <w:rsid w:val="000353C9"/>
    <w:rsid w:val="00037B97"/>
    <w:rsid w:val="00037E11"/>
    <w:rsid w:val="00044088"/>
    <w:rsid w:val="00045231"/>
    <w:rsid w:val="00047359"/>
    <w:rsid w:val="00050560"/>
    <w:rsid w:val="00051C39"/>
    <w:rsid w:val="0005235F"/>
    <w:rsid w:val="00062D05"/>
    <w:rsid w:val="000633B4"/>
    <w:rsid w:val="00064590"/>
    <w:rsid w:val="00064BE0"/>
    <w:rsid w:val="00066558"/>
    <w:rsid w:val="0006660A"/>
    <w:rsid w:val="00066AEB"/>
    <w:rsid w:val="00067C78"/>
    <w:rsid w:val="00075571"/>
    <w:rsid w:val="00083198"/>
    <w:rsid w:val="00094C28"/>
    <w:rsid w:val="0009570F"/>
    <w:rsid w:val="000A7A94"/>
    <w:rsid w:val="000C2F23"/>
    <w:rsid w:val="000C3A7F"/>
    <w:rsid w:val="000D07CA"/>
    <w:rsid w:val="000D2FCD"/>
    <w:rsid w:val="000D7AE6"/>
    <w:rsid w:val="000E03C1"/>
    <w:rsid w:val="000E0777"/>
    <w:rsid w:val="000E1643"/>
    <w:rsid w:val="000E20A3"/>
    <w:rsid w:val="000E44A7"/>
    <w:rsid w:val="000E486B"/>
    <w:rsid w:val="000F03AE"/>
    <w:rsid w:val="000F1BF7"/>
    <w:rsid w:val="000F5B26"/>
    <w:rsid w:val="000F6481"/>
    <w:rsid w:val="000F784C"/>
    <w:rsid w:val="00101439"/>
    <w:rsid w:val="001027E6"/>
    <w:rsid w:val="001033D3"/>
    <w:rsid w:val="00104D8A"/>
    <w:rsid w:val="00106BF5"/>
    <w:rsid w:val="001111F2"/>
    <w:rsid w:val="001135A3"/>
    <w:rsid w:val="00120116"/>
    <w:rsid w:val="0012244F"/>
    <w:rsid w:val="00122858"/>
    <w:rsid w:val="001237CF"/>
    <w:rsid w:val="00131D7F"/>
    <w:rsid w:val="00133C03"/>
    <w:rsid w:val="00135D8D"/>
    <w:rsid w:val="00140023"/>
    <w:rsid w:val="0014157A"/>
    <w:rsid w:val="00150DEC"/>
    <w:rsid w:val="001515AC"/>
    <w:rsid w:val="001626B0"/>
    <w:rsid w:val="0016277D"/>
    <w:rsid w:val="00172D26"/>
    <w:rsid w:val="00173C64"/>
    <w:rsid w:val="0018134C"/>
    <w:rsid w:val="00181EBB"/>
    <w:rsid w:val="00184F45"/>
    <w:rsid w:val="001853E4"/>
    <w:rsid w:val="0018607D"/>
    <w:rsid w:val="00186963"/>
    <w:rsid w:val="0019084D"/>
    <w:rsid w:val="00191E2A"/>
    <w:rsid w:val="0019687F"/>
    <w:rsid w:val="0019703C"/>
    <w:rsid w:val="001A06E5"/>
    <w:rsid w:val="001A1529"/>
    <w:rsid w:val="001A1DAD"/>
    <w:rsid w:val="001A1FC3"/>
    <w:rsid w:val="001A3420"/>
    <w:rsid w:val="001A3887"/>
    <w:rsid w:val="001A438C"/>
    <w:rsid w:val="001A4B46"/>
    <w:rsid w:val="001A74DD"/>
    <w:rsid w:val="001B2739"/>
    <w:rsid w:val="001B56DC"/>
    <w:rsid w:val="001C30FA"/>
    <w:rsid w:val="001C3D73"/>
    <w:rsid w:val="001C61CC"/>
    <w:rsid w:val="001C6834"/>
    <w:rsid w:val="001C70C3"/>
    <w:rsid w:val="001D1088"/>
    <w:rsid w:val="001D5FEF"/>
    <w:rsid w:val="001D6FF8"/>
    <w:rsid w:val="001D74D9"/>
    <w:rsid w:val="001E0288"/>
    <w:rsid w:val="001E0584"/>
    <w:rsid w:val="001E06B8"/>
    <w:rsid w:val="001E5702"/>
    <w:rsid w:val="001E67D9"/>
    <w:rsid w:val="001F3EB6"/>
    <w:rsid w:val="001F60E4"/>
    <w:rsid w:val="001F7972"/>
    <w:rsid w:val="00202E55"/>
    <w:rsid w:val="002063DB"/>
    <w:rsid w:val="0020784E"/>
    <w:rsid w:val="00214A8D"/>
    <w:rsid w:val="002165CE"/>
    <w:rsid w:val="00216FA1"/>
    <w:rsid w:val="00220C35"/>
    <w:rsid w:val="00225401"/>
    <w:rsid w:val="0023054F"/>
    <w:rsid w:val="00237DC3"/>
    <w:rsid w:val="002429F0"/>
    <w:rsid w:val="00246028"/>
    <w:rsid w:val="00267368"/>
    <w:rsid w:val="00281190"/>
    <w:rsid w:val="0028229D"/>
    <w:rsid w:val="00283874"/>
    <w:rsid w:val="00283AC6"/>
    <w:rsid w:val="00287361"/>
    <w:rsid w:val="0029042D"/>
    <w:rsid w:val="00293BAD"/>
    <w:rsid w:val="00296855"/>
    <w:rsid w:val="002A0115"/>
    <w:rsid w:val="002A0781"/>
    <w:rsid w:val="002A14A5"/>
    <w:rsid w:val="002B097C"/>
    <w:rsid w:val="002B20E1"/>
    <w:rsid w:val="002B7638"/>
    <w:rsid w:val="002C01E0"/>
    <w:rsid w:val="002C1359"/>
    <w:rsid w:val="002C319F"/>
    <w:rsid w:val="002C53E7"/>
    <w:rsid w:val="002C5B0B"/>
    <w:rsid w:val="002C6E06"/>
    <w:rsid w:val="002C7E78"/>
    <w:rsid w:val="002D1402"/>
    <w:rsid w:val="002D32BF"/>
    <w:rsid w:val="002D3AE6"/>
    <w:rsid w:val="002D3FCB"/>
    <w:rsid w:val="002D6A32"/>
    <w:rsid w:val="002E16AF"/>
    <w:rsid w:val="002E1924"/>
    <w:rsid w:val="002E7ABE"/>
    <w:rsid w:val="002F04C4"/>
    <w:rsid w:val="002F0A6B"/>
    <w:rsid w:val="002F2F5A"/>
    <w:rsid w:val="002F36B1"/>
    <w:rsid w:val="002F3DE3"/>
    <w:rsid w:val="002F469D"/>
    <w:rsid w:val="003066D3"/>
    <w:rsid w:val="003114F4"/>
    <w:rsid w:val="0031178D"/>
    <w:rsid w:val="00313BB4"/>
    <w:rsid w:val="00314E36"/>
    <w:rsid w:val="003205CB"/>
    <w:rsid w:val="003206FE"/>
    <w:rsid w:val="00320AA0"/>
    <w:rsid w:val="0032727E"/>
    <w:rsid w:val="00333CAC"/>
    <w:rsid w:val="00333D33"/>
    <w:rsid w:val="003343C3"/>
    <w:rsid w:val="0033747B"/>
    <w:rsid w:val="003377EE"/>
    <w:rsid w:val="003429F2"/>
    <w:rsid w:val="0034407F"/>
    <w:rsid w:val="0035180D"/>
    <w:rsid w:val="0035314A"/>
    <w:rsid w:val="0036044F"/>
    <w:rsid w:val="00360B0A"/>
    <w:rsid w:val="00362D8E"/>
    <w:rsid w:val="00366589"/>
    <w:rsid w:val="00367638"/>
    <w:rsid w:val="00372BDB"/>
    <w:rsid w:val="00374B5B"/>
    <w:rsid w:val="00381496"/>
    <w:rsid w:val="00381B55"/>
    <w:rsid w:val="003828F9"/>
    <w:rsid w:val="00383A21"/>
    <w:rsid w:val="003946C8"/>
    <w:rsid w:val="003977FB"/>
    <w:rsid w:val="003A188C"/>
    <w:rsid w:val="003A4B55"/>
    <w:rsid w:val="003A4DF2"/>
    <w:rsid w:val="003A616A"/>
    <w:rsid w:val="003B0CD4"/>
    <w:rsid w:val="003B2E55"/>
    <w:rsid w:val="003C05B9"/>
    <w:rsid w:val="003D1AA1"/>
    <w:rsid w:val="003D4CE9"/>
    <w:rsid w:val="003D566F"/>
    <w:rsid w:val="003D605C"/>
    <w:rsid w:val="003E4935"/>
    <w:rsid w:val="003E64B3"/>
    <w:rsid w:val="003E6A78"/>
    <w:rsid w:val="003F1D1E"/>
    <w:rsid w:val="003F54EA"/>
    <w:rsid w:val="003F7582"/>
    <w:rsid w:val="00400325"/>
    <w:rsid w:val="00402E66"/>
    <w:rsid w:val="00403420"/>
    <w:rsid w:val="00403676"/>
    <w:rsid w:val="00403C50"/>
    <w:rsid w:val="00404ADC"/>
    <w:rsid w:val="00404CA3"/>
    <w:rsid w:val="004062D9"/>
    <w:rsid w:val="0041172E"/>
    <w:rsid w:val="00420730"/>
    <w:rsid w:val="0042204A"/>
    <w:rsid w:val="00425692"/>
    <w:rsid w:val="00425FE6"/>
    <w:rsid w:val="00426EB6"/>
    <w:rsid w:val="00427A78"/>
    <w:rsid w:val="0043181F"/>
    <w:rsid w:val="00431F73"/>
    <w:rsid w:val="0043271E"/>
    <w:rsid w:val="00434CC5"/>
    <w:rsid w:val="00437A19"/>
    <w:rsid w:val="00437C9E"/>
    <w:rsid w:val="00437F55"/>
    <w:rsid w:val="00440E2D"/>
    <w:rsid w:val="004449C2"/>
    <w:rsid w:val="0044794C"/>
    <w:rsid w:val="00450839"/>
    <w:rsid w:val="00453BB4"/>
    <w:rsid w:val="00454AF5"/>
    <w:rsid w:val="004618E7"/>
    <w:rsid w:val="00463D1D"/>
    <w:rsid w:val="0046618D"/>
    <w:rsid w:val="00466B58"/>
    <w:rsid w:val="00467DF4"/>
    <w:rsid w:val="004727D5"/>
    <w:rsid w:val="0047460D"/>
    <w:rsid w:val="00475FD2"/>
    <w:rsid w:val="00485CD1"/>
    <w:rsid w:val="00486C51"/>
    <w:rsid w:val="004903E3"/>
    <w:rsid w:val="004941CA"/>
    <w:rsid w:val="00494E54"/>
    <w:rsid w:val="004A4599"/>
    <w:rsid w:val="004A7FF8"/>
    <w:rsid w:val="004B1BDB"/>
    <w:rsid w:val="004B2C6F"/>
    <w:rsid w:val="004B4E4D"/>
    <w:rsid w:val="004B762F"/>
    <w:rsid w:val="004C144A"/>
    <w:rsid w:val="004C214E"/>
    <w:rsid w:val="004C35FA"/>
    <w:rsid w:val="004C3FE8"/>
    <w:rsid w:val="004C463A"/>
    <w:rsid w:val="004C523B"/>
    <w:rsid w:val="004D012E"/>
    <w:rsid w:val="004D2D3E"/>
    <w:rsid w:val="004E3B6B"/>
    <w:rsid w:val="004F3884"/>
    <w:rsid w:val="004F4BA7"/>
    <w:rsid w:val="004F5A76"/>
    <w:rsid w:val="00505ED3"/>
    <w:rsid w:val="00510ACA"/>
    <w:rsid w:val="005147B9"/>
    <w:rsid w:val="005209C9"/>
    <w:rsid w:val="00520DAC"/>
    <w:rsid w:val="005212A1"/>
    <w:rsid w:val="0052238B"/>
    <w:rsid w:val="005223F6"/>
    <w:rsid w:val="0052402E"/>
    <w:rsid w:val="005249E6"/>
    <w:rsid w:val="00525E78"/>
    <w:rsid w:val="00534F92"/>
    <w:rsid w:val="005373CC"/>
    <w:rsid w:val="0054411B"/>
    <w:rsid w:val="00546943"/>
    <w:rsid w:val="0054750F"/>
    <w:rsid w:val="00547F0A"/>
    <w:rsid w:val="005510E9"/>
    <w:rsid w:val="00553C69"/>
    <w:rsid w:val="00560099"/>
    <w:rsid w:val="005729AB"/>
    <w:rsid w:val="0057424D"/>
    <w:rsid w:val="00574B70"/>
    <w:rsid w:val="0057743C"/>
    <w:rsid w:val="005817F9"/>
    <w:rsid w:val="00590799"/>
    <w:rsid w:val="00590A64"/>
    <w:rsid w:val="005936E7"/>
    <w:rsid w:val="00594DFD"/>
    <w:rsid w:val="005961F3"/>
    <w:rsid w:val="005967D9"/>
    <w:rsid w:val="005A4E09"/>
    <w:rsid w:val="005B0C16"/>
    <w:rsid w:val="005C3CB6"/>
    <w:rsid w:val="005C4A3A"/>
    <w:rsid w:val="005C5193"/>
    <w:rsid w:val="005C5FEF"/>
    <w:rsid w:val="005D26B3"/>
    <w:rsid w:val="005D2C7C"/>
    <w:rsid w:val="005D719C"/>
    <w:rsid w:val="005E00B2"/>
    <w:rsid w:val="005E01FD"/>
    <w:rsid w:val="005E2189"/>
    <w:rsid w:val="005E4CF7"/>
    <w:rsid w:val="005E4FAC"/>
    <w:rsid w:val="005F1036"/>
    <w:rsid w:val="005F2096"/>
    <w:rsid w:val="005F5251"/>
    <w:rsid w:val="005F54E1"/>
    <w:rsid w:val="005F5975"/>
    <w:rsid w:val="005F6C2A"/>
    <w:rsid w:val="006035C2"/>
    <w:rsid w:val="006055EF"/>
    <w:rsid w:val="00607BA6"/>
    <w:rsid w:val="00610074"/>
    <w:rsid w:val="006111C2"/>
    <w:rsid w:val="006129C0"/>
    <w:rsid w:val="00614D9A"/>
    <w:rsid w:val="00622C52"/>
    <w:rsid w:val="00626E3D"/>
    <w:rsid w:val="00627568"/>
    <w:rsid w:val="00627573"/>
    <w:rsid w:val="006278AB"/>
    <w:rsid w:val="00631C24"/>
    <w:rsid w:val="00632E1F"/>
    <w:rsid w:val="00632FB8"/>
    <w:rsid w:val="00644E87"/>
    <w:rsid w:val="00645766"/>
    <w:rsid w:val="00646318"/>
    <w:rsid w:val="00651E8A"/>
    <w:rsid w:val="0065367B"/>
    <w:rsid w:val="006562FC"/>
    <w:rsid w:val="00657239"/>
    <w:rsid w:val="00670173"/>
    <w:rsid w:val="0067110B"/>
    <w:rsid w:val="0067195C"/>
    <w:rsid w:val="00675F48"/>
    <w:rsid w:val="00676515"/>
    <w:rsid w:val="00680122"/>
    <w:rsid w:val="006816DF"/>
    <w:rsid w:val="006837FC"/>
    <w:rsid w:val="00686BFA"/>
    <w:rsid w:val="00691837"/>
    <w:rsid w:val="00693B6A"/>
    <w:rsid w:val="00694DD5"/>
    <w:rsid w:val="00696C84"/>
    <w:rsid w:val="006A0D01"/>
    <w:rsid w:val="006A0E5E"/>
    <w:rsid w:val="006A4082"/>
    <w:rsid w:val="006A5280"/>
    <w:rsid w:val="006A7A65"/>
    <w:rsid w:val="006B1F27"/>
    <w:rsid w:val="006B2C57"/>
    <w:rsid w:val="006C291B"/>
    <w:rsid w:val="006C5C31"/>
    <w:rsid w:val="006C6E41"/>
    <w:rsid w:val="006D3278"/>
    <w:rsid w:val="006D416F"/>
    <w:rsid w:val="006D53C2"/>
    <w:rsid w:val="006D6830"/>
    <w:rsid w:val="006E301E"/>
    <w:rsid w:val="006E31D2"/>
    <w:rsid w:val="006E4FB2"/>
    <w:rsid w:val="006F324D"/>
    <w:rsid w:val="006F5424"/>
    <w:rsid w:val="006F72AE"/>
    <w:rsid w:val="006F7F00"/>
    <w:rsid w:val="00701F69"/>
    <w:rsid w:val="007055FB"/>
    <w:rsid w:val="00713CAC"/>
    <w:rsid w:val="00714891"/>
    <w:rsid w:val="007169BC"/>
    <w:rsid w:val="00720BAF"/>
    <w:rsid w:val="00731255"/>
    <w:rsid w:val="00734363"/>
    <w:rsid w:val="0073441E"/>
    <w:rsid w:val="0073618E"/>
    <w:rsid w:val="00753C75"/>
    <w:rsid w:val="0075553E"/>
    <w:rsid w:val="00756CAB"/>
    <w:rsid w:val="007637E3"/>
    <w:rsid w:val="007700A7"/>
    <w:rsid w:val="00772905"/>
    <w:rsid w:val="007732A9"/>
    <w:rsid w:val="0077486A"/>
    <w:rsid w:val="007826DA"/>
    <w:rsid w:val="007834EC"/>
    <w:rsid w:val="00795025"/>
    <w:rsid w:val="00796F70"/>
    <w:rsid w:val="0079773D"/>
    <w:rsid w:val="007A0911"/>
    <w:rsid w:val="007A33C4"/>
    <w:rsid w:val="007A3D52"/>
    <w:rsid w:val="007B3954"/>
    <w:rsid w:val="007B3F31"/>
    <w:rsid w:val="007B4E5C"/>
    <w:rsid w:val="007B6022"/>
    <w:rsid w:val="007C3E17"/>
    <w:rsid w:val="007D5DC2"/>
    <w:rsid w:val="007E09E8"/>
    <w:rsid w:val="007E38EE"/>
    <w:rsid w:val="007E5544"/>
    <w:rsid w:val="007F12B9"/>
    <w:rsid w:val="007F35B2"/>
    <w:rsid w:val="007F3626"/>
    <w:rsid w:val="007F56AD"/>
    <w:rsid w:val="007F7446"/>
    <w:rsid w:val="0080084A"/>
    <w:rsid w:val="00801C29"/>
    <w:rsid w:val="00802957"/>
    <w:rsid w:val="00803AE6"/>
    <w:rsid w:val="00803B88"/>
    <w:rsid w:val="0082258E"/>
    <w:rsid w:val="00823D68"/>
    <w:rsid w:val="0082410B"/>
    <w:rsid w:val="00825334"/>
    <w:rsid w:val="00825581"/>
    <w:rsid w:val="00835DB1"/>
    <w:rsid w:val="00843C2B"/>
    <w:rsid w:val="008453A8"/>
    <w:rsid w:val="00851F0F"/>
    <w:rsid w:val="008536D9"/>
    <w:rsid w:val="00856189"/>
    <w:rsid w:val="00860FC8"/>
    <w:rsid w:val="00861DB6"/>
    <w:rsid w:val="00862C69"/>
    <w:rsid w:val="00863374"/>
    <w:rsid w:val="00864646"/>
    <w:rsid w:val="00865E8A"/>
    <w:rsid w:val="00866823"/>
    <w:rsid w:val="008670DB"/>
    <w:rsid w:val="00867A16"/>
    <w:rsid w:val="00873116"/>
    <w:rsid w:val="00873534"/>
    <w:rsid w:val="00877724"/>
    <w:rsid w:val="00880E0C"/>
    <w:rsid w:val="00881C47"/>
    <w:rsid w:val="008823D2"/>
    <w:rsid w:val="00884BDF"/>
    <w:rsid w:val="00887400"/>
    <w:rsid w:val="0088751F"/>
    <w:rsid w:val="00892E26"/>
    <w:rsid w:val="00896475"/>
    <w:rsid w:val="008A043C"/>
    <w:rsid w:val="008B2ED8"/>
    <w:rsid w:val="008B6D6A"/>
    <w:rsid w:val="008C0383"/>
    <w:rsid w:val="008C06D4"/>
    <w:rsid w:val="008C18E1"/>
    <w:rsid w:val="008C37E1"/>
    <w:rsid w:val="008C5CCF"/>
    <w:rsid w:val="008D1426"/>
    <w:rsid w:val="008D2CF1"/>
    <w:rsid w:val="008D6397"/>
    <w:rsid w:val="008D66A2"/>
    <w:rsid w:val="008D6F18"/>
    <w:rsid w:val="008E5A7E"/>
    <w:rsid w:val="008E5C32"/>
    <w:rsid w:val="008F05B6"/>
    <w:rsid w:val="008F0CE8"/>
    <w:rsid w:val="008F167F"/>
    <w:rsid w:val="009013C1"/>
    <w:rsid w:val="009079D4"/>
    <w:rsid w:val="00907EC6"/>
    <w:rsid w:val="00910FD7"/>
    <w:rsid w:val="00924DED"/>
    <w:rsid w:val="009256AF"/>
    <w:rsid w:val="00926F74"/>
    <w:rsid w:val="00927A5D"/>
    <w:rsid w:val="009308B2"/>
    <w:rsid w:val="009308E4"/>
    <w:rsid w:val="009334D7"/>
    <w:rsid w:val="009358BA"/>
    <w:rsid w:val="0093754B"/>
    <w:rsid w:val="00940720"/>
    <w:rsid w:val="0094331E"/>
    <w:rsid w:val="00947730"/>
    <w:rsid w:val="009531ED"/>
    <w:rsid w:val="00965B18"/>
    <w:rsid w:val="00966418"/>
    <w:rsid w:val="00974EFB"/>
    <w:rsid w:val="00975E0D"/>
    <w:rsid w:val="009774FE"/>
    <w:rsid w:val="0098556F"/>
    <w:rsid w:val="0098742D"/>
    <w:rsid w:val="0099016D"/>
    <w:rsid w:val="00991AA6"/>
    <w:rsid w:val="00995813"/>
    <w:rsid w:val="00995A4B"/>
    <w:rsid w:val="009976E0"/>
    <w:rsid w:val="00997D71"/>
    <w:rsid w:val="009A22F3"/>
    <w:rsid w:val="009A33FE"/>
    <w:rsid w:val="009B18FE"/>
    <w:rsid w:val="009B297B"/>
    <w:rsid w:val="009B2F5F"/>
    <w:rsid w:val="009B34DD"/>
    <w:rsid w:val="009B6FFB"/>
    <w:rsid w:val="009C2290"/>
    <w:rsid w:val="009D0B9C"/>
    <w:rsid w:val="009D0D6C"/>
    <w:rsid w:val="009D157C"/>
    <w:rsid w:val="009D66B5"/>
    <w:rsid w:val="009E5389"/>
    <w:rsid w:val="009E764D"/>
    <w:rsid w:val="009F0AF2"/>
    <w:rsid w:val="009F4720"/>
    <w:rsid w:val="00A0094C"/>
    <w:rsid w:val="00A01052"/>
    <w:rsid w:val="00A023E6"/>
    <w:rsid w:val="00A05CC6"/>
    <w:rsid w:val="00A21014"/>
    <w:rsid w:val="00A2199E"/>
    <w:rsid w:val="00A25DB2"/>
    <w:rsid w:val="00A3661E"/>
    <w:rsid w:val="00A36817"/>
    <w:rsid w:val="00A371C5"/>
    <w:rsid w:val="00A406A4"/>
    <w:rsid w:val="00A43C6B"/>
    <w:rsid w:val="00A44AB2"/>
    <w:rsid w:val="00A503CA"/>
    <w:rsid w:val="00A50E65"/>
    <w:rsid w:val="00A50F0D"/>
    <w:rsid w:val="00A54F1D"/>
    <w:rsid w:val="00A63A08"/>
    <w:rsid w:val="00A65853"/>
    <w:rsid w:val="00A65A5B"/>
    <w:rsid w:val="00A74E80"/>
    <w:rsid w:val="00A77F59"/>
    <w:rsid w:val="00A872BD"/>
    <w:rsid w:val="00A90003"/>
    <w:rsid w:val="00A9042F"/>
    <w:rsid w:val="00A92631"/>
    <w:rsid w:val="00A9359A"/>
    <w:rsid w:val="00A9498A"/>
    <w:rsid w:val="00AA1A49"/>
    <w:rsid w:val="00AA2250"/>
    <w:rsid w:val="00AA4BCD"/>
    <w:rsid w:val="00AA749F"/>
    <w:rsid w:val="00AB5004"/>
    <w:rsid w:val="00AB5EC1"/>
    <w:rsid w:val="00AC0067"/>
    <w:rsid w:val="00AC350A"/>
    <w:rsid w:val="00AC6429"/>
    <w:rsid w:val="00AD1FFD"/>
    <w:rsid w:val="00AE018E"/>
    <w:rsid w:val="00AE08C5"/>
    <w:rsid w:val="00AE0B5D"/>
    <w:rsid w:val="00AE5EBA"/>
    <w:rsid w:val="00AE78B9"/>
    <w:rsid w:val="00AE7EFB"/>
    <w:rsid w:val="00AF0F2D"/>
    <w:rsid w:val="00B107B1"/>
    <w:rsid w:val="00B129A3"/>
    <w:rsid w:val="00B20F88"/>
    <w:rsid w:val="00B22CEA"/>
    <w:rsid w:val="00B32D39"/>
    <w:rsid w:val="00B3322B"/>
    <w:rsid w:val="00B357C4"/>
    <w:rsid w:val="00B41C32"/>
    <w:rsid w:val="00B42D18"/>
    <w:rsid w:val="00B46484"/>
    <w:rsid w:val="00B466A6"/>
    <w:rsid w:val="00B47C3E"/>
    <w:rsid w:val="00B55F4C"/>
    <w:rsid w:val="00B61267"/>
    <w:rsid w:val="00B62358"/>
    <w:rsid w:val="00B64222"/>
    <w:rsid w:val="00B64B91"/>
    <w:rsid w:val="00B678CF"/>
    <w:rsid w:val="00B7033D"/>
    <w:rsid w:val="00B70918"/>
    <w:rsid w:val="00B730BA"/>
    <w:rsid w:val="00B80D93"/>
    <w:rsid w:val="00B8222C"/>
    <w:rsid w:val="00B841B1"/>
    <w:rsid w:val="00B84B50"/>
    <w:rsid w:val="00B92521"/>
    <w:rsid w:val="00B939E6"/>
    <w:rsid w:val="00B95A76"/>
    <w:rsid w:val="00B965FB"/>
    <w:rsid w:val="00BA055E"/>
    <w:rsid w:val="00BA2312"/>
    <w:rsid w:val="00BA6938"/>
    <w:rsid w:val="00BA6DAF"/>
    <w:rsid w:val="00BA723A"/>
    <w:rsid w:val="00BB246F"/>
    <w:rsid w:val="00BB65A6"/>
    <w:rsid w:val="00BC1FE0"/>
    <w:rsid w:val="00BC60C8"/>
    <w:rsid w:val="00BC6528"/>
    <w:rsid w:val="00BC6D44"/>
    <w:rsid w:val="00BD34B9"/>
    <w:rsid w:val="00BD544C"/>
    <w:rsid w:val="00BD65AD"/>
    <w:rsid w:val="00BE0943"/>
    <w:rsid w:val="00BE3BD9"/>
    <w:rsid w:val="00BE6473"/>
    <w:rsid w:val="00BF3CC3"/>
    <w:rsid w:val="00BF4148"/>
    <w:rsid w:val="00BF5F9C"/>
    <w:rsid w:val="00C105AF"/>
    <w:rsid w:val="00C11C8B"/>
    <w:rsid w:val="00C153A6"/>
    <w:rsid w:val="00C157E4"/>
    <w:rsid w:val="00C202C9"/>
    <w:rsid w:val="00C204A8"/>
    <w:rsid w:val="00C266C6"/>
    <w:rsid w:val="00C35E78"/>
    <w:rsid w:val="00C412C3"/>
    <w:rsid w:val="00C42D99"/>
    <w:rsid w:val="00C54EB3"/>
    <w:rsid w:val="00C61E12"/>
    <w:rsid w:val="00C61E57"/>
    <w:rsid w:val="00C71FDF"/>
    <w:rsid w:val="00C72A76"/>
    <w:rsid w:val="00C72CC0"/>
    <w:rsid w:val="00C73E74"/>
    <w:rsid w:val="00C7532E"/>
    <w:rsid w:val="00C75688"/>
    <w:rsid w:val="00C77C42"/>
    <w:rsid w:val="00C80128"/>
    <w:rsid w:val="00C812BB"/>
    <w:rsid w:val="00C87727"/>
    <w:rsid w:val="00C913D3"/>
    <w:rsid w:val="00C92785"/>
    <w:rsid w:val="00C92C6D"/>
    <w:rsid w:val="00C93482"/>
    <w:rsid w:val="00C94FDA"/>
    <w:rsid w:val="00C95EAC"/>
    <w:rsid w:val="00C97F50"/>
    <w:rsid w:val="00CA26C6"/>
    <w:rsid w:val="00CA3681"/>
    <w:rsid w:val="00CB1EA7"/>
    <w:rsid w:val="00CB5CDE"/>
    <w:rsid w:val="00CB6F6A"/>
    <w:rsid w:val="00CB7332"/>
    <w:rsid w:val="00CC0EBD"/>
    <w:rsid w:val="00CC177A"/>
    <w:rsid w:val="00CC2953"/>
    <w:rsid w:val="00CC7B1E"/>
    <w:rsid w:val="00CD0296"/>
    <w:rsid w:val="00CD5D1B"/>
    <w:rsid w:val="00CE2CFE"/>
    <w:rsid w:val="00CE3154"/>
    <w:rsid w:val="00CE3808"/>
    <w:rsid w:val="00CE61FD"/>
    <w:rsid w:val="00CF0DC4"/>
    <w:rsid w:val="00CF19A1"/>
    <w:rsid w:val="00CF291A"/>
    <w:rsid w:val="00CF39AB"/>
    <w:rsid w:val="00CF45F8"/>
    <w:rsid w:val="00CF7517"/>
    <w:rsid w:val="00D01B7E"/>
    <w:rsid w:val="00D06EBB"/>
    <w:rsid w:val="00D1048C"/>
    <w:rsid w:val="00D242E5"/>
    <w:rsid w:val="00D25BF8"/>
    <w:rsid w:val="00D31011"/>
    <w:rsid w:val="00D3325B"/>
    <w:rsid w:val="00D42782"/>
    <w:rsid w:val="00D43E9C"/>
    <w:rsid w:val="00D449FD"/>
    <w:rsid w:val="00D44DE5"/>
    <w:rsid w:val="00D5188E"/>
    <w:rsid w:val="00D55448"/>
    <w:rsid w:val="00D60B68"/>
    <w:rsid w:val="00D66E03"/>
    <w:rsid w:val="00D7269E"/>
    <w:rsid w:val="00D73717"/>
    <w:rsid w:val="00D73CE3"/>
    <w:rsid w:val="00D8424C"/>
    <w:rsid w:val="00D879F9"/>
    <w:rsid w:val="00D9175C"/>
    <w:rsid w:val="00D935B3"/>
    <w:rsid w:val="00D936BC"/>
    <w:rsid w:val="00D945BB"/>
    <w:rsid w:val="00D95961"/>
    <w:rsid w:val="00DA01F5"/>
    <w:rsid w:val="00DA53A1"/>
    <w:rsid w:val="00DA7332"/>
    <w:rsid w:val="00DB3824"/>
    <w:rsid w:val="00DB422F"/>
    <w:rsid w:val="00DB7888"/>
    <w:rsid w:val="00DC129D"/>
    <w:rsid w:val="00DC1F82"/>
    <w:rsid w:val="00DC2ED7"/>
    <w:rsid w:val="00DC2F91"/>
    <w:rsid w:val="00DD32CA"/>
    <w:rsid w:val="00DD5F12"/>
    <w:rsid w:val="00DE0DCF"/>
    <w:rsid w:val="00DE1D11"/>
    <w:rsid w:val="00DE2A21"/>
    <w:rsid w:val="00DE6671"/>
    <w:rsid w:val="00DE7FB3"/>
    <w:rsid w:val="00DF02EF"/>
    <w:rsid w:val="00DF176A"/>
    <w:rsid w:val="00DF21B3"/>
    <w:rsid w:val="00DF30D3"/>
    <w:rsid w:val="00DF46F9"/>
    <w:rsid w:val="00DF58EF"/>
    <w:rsid w:val="00E043EE"/>
    <w:rsid w:val="00E05F6D"/>
    <w:rsid w:val="00E064B2"/>
    <w:rsid w:val="00E108B6"/>
    <w:rsid w:val="00E11E77"/>
    <w:rsid w:val="00E13C09"/>
    <w:rsid w:val="00E15619"/>
    <w:rsid w:val="00E213B5"/>
    <w:rsid w:val="00E21ECD"/>
    <w:rsid w:val="00E22863"/>
    <w:rsid w:val="00E233CA"/>
    <w:rsid w:val="00E351EF"/>
    <w:rsid w:val="00E37CF1"/>
    <w:rsid w:val="00E42A58"/>
    <w:rsid w:val="00E44B89"/>
    <w:rsid w:val="00E46F51"/>
    <w:rsid w:val="00E51124"/>
    <w:rsid w:val="00E51781"/>
    <w:rsid w:val="00E64401"/>
    <w:rsid w:val="00E65973"/>
    <w:rsid w:val="00E67005"/>
    <w:rsid w:val="00E713EC"/>
    <w:rsid w:val="00E71BBA"/>
    <w:rsid w:val="00E81EBF"/>
    <w:rsid w:val="00E858DE"/>
    <w:rsid w:val="00E86242"/>
    <w:rsid w:val="00E8626C"/>
    <w:rsid w:val="00E8739A"/>
    <w:rsid w:val="00E91917"/>
    <w:rsid w:val="00EA39EE"/>
    <w:rsid w:val="00EA4F2F"/>
    <w:rsid w:val="00EB344C"/>
    <w:rsid w:val="00EB53AC"/>
    <w:rsid w:val="00EB59DE"/>
    <w:rsid w:val="00EB7721"/>
    <w:rsid w:val="00EC2C98"/>
    <w:rsid w:val="00EC76E9"/>
    <w:rsid w:val="00ED1F28"/>
    <w:rsid w:val="00ED558E"/>
    <w:rsid w:val="00EE0066"/>
    <w:rsid w:val="00EE3377"/>
    <w:rsid w:val="00EF0E1A"/>
    <w:rsid w:val="00EF2ADD"/>
    <w:rsid w:val="00EF5B5B"/>
    <w:rsid w:val="00EF6DFE"/>
    <w:rsid w:val="00F045FE"/>
    <w:rsid w:val="00F108F7"/>
    <w:rsid w:val="00F10AA2"/>
    <w:rsid w:val="00F11D8E"/>
    <w:rsid w:val="00F1564A"/>
    <w:rsid w:val="00F15D00"/>
    <w:rsid w:val="00F15FA4"/>
    <w:rsid w:val="00F20B2A"/>
    <w:rsid w:val="00F24059"/>
    <w:rsid w:val="00F36D7C"/>
    <w:rsid w:val="00F372C7"/>
    <w:rsid w:val="00F40B19"/>
    <w:rsid w:val="00F46F82"/>
    <w:rsid w:val="00F47A73"/>
    <w:rsid w:val="00F509D3"/>
    <w:rsid w:val="00F53236"/>
    <w:rsid w:val="00F53855"/>
    <w:rsid w:val="00F60CE8"/>
    <w:rsid w:val="00F64A6E"/>
    <w:rsid w:val="00F6567F"/>
    <w:rsid w:val="00F71C6A"/>
    <w:rsid w:val="00F72F0E"/>
    <w:rsid w:val="00F73621"/>
    <w:rsid w:val="00F810B4"/>
    <w:rsid w:val="00F831EF"/>
    <w:rsid w:val="00F96E51"/>
    <w:rsid w:val="00FA7356"/>
    <w:rsid w:val="00FB3D8F"/>
    <w:rsid w:val="00FB6C83"/>
    <w:rsid w:val="00FB7FFB"/>
    <w:rsid w:val="00FC1A83"/>
    <w:rsid w:val="00FC4FCA"/>
    <w:rsid w:val="00FC598A"/>
    <w:rsid w:val="00FC666D"/>
    <w:rsid w:val="00FD0052"/>
    <w:rsid w:val="00FD3EF2"/>
    <w:rsid w:val="00FE2C31"/>
    <w:rsid w:val="00FE3CD9"/>
    <w:rsid w:val="00FE4525"/>
    <w:rsid w:val="00FF03B9"/>
    <w:rsid w:val="00FF3248"/>
    <w:rsid w:val="010F4962"/>
    <w:rsid w:val="019DAD43"/>
    <w:rsid w:val="01D14D28"/>
    <w:rsid w:val="020396F2"/>
    <w:rsid w:val="0274565D"/>
    <w:rsid w:val="02927755"/>
    <w:rsid w:val="03ADF0FE"/>
    <w:rsid w:val="04C36034"/>
    <w:rsid w:val="0615E2AA"/>
    <w:rsid w:val="062017E5"/>
    <w:rsid w:val="06385F1B"/>
    <w:rsid w:val="06415E0E"/>
    <w:rsid w:val="06ACABD1"/>
    <w:rsid w:val="06CB5E4C"/>
    <w:rsid w:val="06E596D8"/>
    <w:rsid w:val="080CEEC7"/>
    <w:rsid w:val="096DADF2"/>
    <w:rsid w:val="0989EA14"/>
    <w:rsid w:val="0A58BA1C"/>
    <w:rsid w:val="0A63519E"/>
    <w:rsid w:val="0A7D59EC"/>
    <w:rsid w:val="0AA20E6B"/>
    <w:rsid w:val="0B2497C9"/>
    <w:rsid w:val="0B5B35FC"/>
    <w:rsid w:val="0B71048C"/>
    <w:rsid w:val="0B9FEFA0"/>
    <w:rsid w:val="0D6BB648"/>
    <w:rsid w:val="0D96C19B"/>
    <w:rsid w:val="0E56253D"/>
    <w:rsid w:val="0EDB8790"/>
    <w:rsid w:val="0EE35EAC"/>
    <w:rsid w:val="0F2E4D1C"/>
    <w:rsid w:val="0F36C2C1"/>
    <w:rsid w:val="0F77DFC9"/>
    <w:rsid w:val="0F9214EE"/>
    <w:rsid w:val="0FB57FD8"/>
    <w:rsid w:val="0FC41E29"/>
    <w:rsid w:val="11AFA461"/>
    <w:rsid w:val="11D013A0"/>
    <w:rsid w:val="12C9B5B0"/>
    <w:rsid w:val="12DCDC9B"/>
    <w:rsid w:val="12F45552"/>
    <w:rsid w:val="1315102B"/>
    <w:rsid w:val="153115AC"/>
    <w:rsid w:val="154020A7"/>
    <w:rsid w:val="159E0590"/>
    <w:rsid w:val="160BB134"/>
    <w:rsid w:val="162C5937"/>
    <w:rsid w:val="1631C59D"/>
    <w:rsid w:val="1683899B"/>
    <w:rsid w:val="16960E5A"/>
    <w:rsid w:val="1699C738"/>
    <w:rsid w:val="17133BE8"/>
    <w:rsid w:val="17573BFB"/>
    <w:rsid w:val="1760A299"/>
    <w:rsid w:val="17C43733"/>
    <w:rsid w:val="1845779F"/>
    <w:rsid w:val="1847370B"/>
    <w:rsid w:val="185E9FFC"/>
    <w:rsid w:val="1894801A"/>
    <w:rsid w:val="19722081"/>
    <w:rsid w:val="199A35F2"/>
    <w:rsid w:val="1A18D60C"/>
    <w:rsid w:val="1AAC7595"/>
    <w:rsid w:val="1BB10EB8"/>
    <w:rsid w:val="1D0DACFA"/>
    <w:rsid w:val="1D4DCCDA"/>
    <w:rsid w:val="1DD11E4A"/>
    <w:rsid w:val="1F49AC02"/>
    <w:rsid w:val="1F74A0AB"/>
    <w:rsid w:val="1F8B3038"/>
    <w:rsid w:val="1FCBC2EC"/>
    <w:rsid w:val="1FD2D85A"/>
    <w:rsid w:val="20114384"/>
    <w:rsid w:val="2067E0D4"/>
    <w:rsid w:val="20AF9B90"/>
    <w:rsid w:val="20F0A472"/>
    <w:rsid w:val="2138379D"/>
    <w:rsid w:val="218A3990"/>
    <w:rsid w:val="21BFD9C8"/>
    <w:rsid w:val="21ED58C7"/>
    <w:rsid w:val="22C8A5A8"/>
    <w:rsid w:val="22E01CD8"/>
    <w:rsid w:val="2330B106"/>
    <w:rsid w:val="2492522C"/>
    <w:rsid w:val="25564471"/>
    <w:rsid w:val="25F1C69C"/>
    <w:rsid w:val="263C719F"/>
    <w:rsid w:val="2667F115"/>
    <w:rsid w:val="26808508"/>
    <w:rsid w:val="26D048BB"/>
    <w:rsid w:val="293635FF"/>
    <w:rsid w:val="29432F67"/>
    <w:rsid w:val="29839C7D"/>
    <w:rsid w:val="2A4AAD48"/>
    <w:rsid w:val="2A7353EE"/>
    <w:rsid w:val="2A80CAF0"/>
    <w:rsid w:val="2A8F4486"/>
    <w:rsid w:val="2AB7B884"/>
    <w:rsid w:val="2B2E0DD5"/>
    <w:rsid w:val="2B60FF8D"/>
    <w:rsid w:val="2B649BBD"/>
    <w:rsid w:val="2BBBCEBC"/>
    <w:rsid w:val="2C86FF1E"/>
    <w:rsid w:val="2D615656"/>
    <w:rsid w:val="2EFF81C2"/>
    <w:rsid w:val="2FA57783"/>
    <w:rsid w:val="2FC8DE8B"/>
    <w:rsid w:val="30A429B8"/>
    <w:rsid w:val="311A00DC"/>
    <w:rsid w:val="31268BB3"/>
    <w:rsid w:val="31A46097"/>
    <w:rsid w:val="324C1E2A"/>
    <w:rsid w:val="32F28581"/>
    <w:rsid w:val="330B0C87"/>
    <w:rsid w:val="330F5203"/>
    <w:rsid w:val="33642E3E"/>
    <w:rsid w:val="339878F1"/>
    <w:rsid w:val="33A1F65F"/>
    <w:rsid w:val="3418C7D4"/>
    <w:rsid w:val="34488EFB"/>
    <w:rsid w:val="346AD442"/>
    <w:rsid w:val="34AC8388"/>
    <w:rsid w:val="34CBED49"/>
    <w:rsid w:val="35331026"/>
    <w:rsid w:val="3614B907"/>
    <w:rsid w:val="370E2B96"/>
    <w:rsid w:val="37989678"/>
    <w:rsid w:val="38037FC4"/>
    <w:rsid w:val="382E826C"/>
    <w:rsid w:val="3892C1A2"/>
    <w:rsid w:val="3977C19C"/>
    <w:rsid w:val="397EA393"/>
    <w:rsid w:val="39B9CB19"/>
    <w:rsid w:val="3AEBE7C3"/>
    <w:rsid w:val="3C4410F2"/>
    <w:rsid w:val="3C933107"/>
    <w:rsid w:val="3D20E056"/>
    <w:rsid w:val="3D631F90"/>
    <w:rsid w:val="3DE72DA4"/>
    <w:rsid w:val="3E1FCAEC"/>
    <w:rsid w:val="3EF9B3B7"/>
    <w:rsid w:val="3F2AF83D"/>
    <w:rsid w:val="3FB04FB0"/>
    <w:rsid w:val="4029B0B4"/>
    <w:rsid w:val="4089409D"/>
    <w:rsid w:val="40B91884"/>
    <w:rsid w:val="40C51AF2"/>
    <w:rsid w:val="411825AE"/>
    <w:rsid w:val="415F5934"/>
    <w:rsid w:val="42BF9C2A"/>
    <w:rsid w:val="43863AB4"/>
    <w:rsid w:val="4466AADE"/>
    <w:rsid w:val="451946A2"/>
    <w:rsid w:val="4685CEFA"/>
    <w:rsid w:val="48BFB286"/>
    <w:rsid w:val="48EBCE15"/>
    <w:rsid w:val="492925D0"/>
    <w:rsid w:val="492B6877"/>
    <w:rsid w:val="496A6B19"/>
    <w:rsid w:val="49CDE75C"/>
    <w:rsid w:val="49CDF0AA"/>
    <w:rsid w:val="49CEDBC9"/>
    <w:rsid w:val="4A4A6257"/>
    <w:rsid w:val="4B127EDC"/>
    <w:rsid w:val="4B388544"/>
    <w:rsid w:val="4B6180A6"/>
    <w:rsid w:val="4B630C82"/>
    <w:rsid w:val="4B873031"/>
    <w:rsid w:val="4CE9EB45"/>
    <w:rsid w:val="4DA702B5"/>
    <w:rsid w:val="4E8A1021"/>
    <w:rsid w:val="4F638DEF"/>
    <w:rsid w:val="506C5A2D"/>
    <w:rsid w:val="50AB6B35"/>
    <w:rsid w:val="522681C5"/>
    <w:rsid w:val="526952E5"/>
    <w:rsid w:val="52CC4F87"/>
    <w:rsid w:val="53875F28"/>
    <w:rsid w:val="53D96B3A"/>
    <w:rsid w:val="53EBE7F5"/>
    <w:rsid w:val="5424CDE4"/>
    <w:rsid w:val="54CB3143"/>
    <w:rsid w:val="5548AE75"/>
    <w:rsid w:val="55828524"/>
    <w:rsid w:val="5593A44D"/>
    <w:rsid w:val="55B2E751"/>
    <w:rsid w:val="55FB8BED"/>
    <w:rsid w:val="57403E70"/>
    <w:rsid w:val="57AE1157"/>
    <w:rsid w:val="57C4F4BC"/>
    <w:rsid w:val="584DB127"/>
    <w:rsid w:val="58A84A3F"/>
    <w:rsid w:val="597ADF6D"/>
    <w:rsid w:val="59BF06AC"/>
    <w:rsid w:val="5A4D4827"/>
    <w:rsid w:val="5AA10312"/>
    <w:rsid w:val="5AAC81FA"/>
    <w:rsid w:val="5AFA14A2"/>
    <w:rsid w:val="5B9EA460"/>
    <w:rsid w:val="5BBE26A9"/>
    <w:rsid w:val="5C7F75D2"/>
    <w:rsid w:val="5CEA796F"/>
    <w:rsid w:val="5D100662"/>
    <w:rsid w:val="5DE44E8E"/>
    <w:rsid w:val="5DE4EF18"/>
    <w:rsid w:val="5E9CAAE8"/>
    <w:rsid w:val="5EDAF297"/>
    <w:rsid w:val="5F116A8D"/>
    <w:rsid w:val="5F60E466"/>
    <w:rsid w:val="5FF9C831"/>
    <w:rsid w:val="60221A31"/>
    <w:rsid w:val="60CA6AFD"/>
    <w:rsid w:val="60F42E41"/>
    <w:rsid w:val="615BE724"/>
    <w:rsid w:val="615F9D2F"/>
    <w:rsid w:val="6162EFE0"/>
    <w:rsid w:val="6178C69A"/>
    <w:rsid w:val="61C9F84F"/>
    <w:rsid w:val="62524415"/>
    <w:rsid w:val="629097A2"/>
    <w:rsid w:val="6306564C"/>
    <w:rsid w:val="6359FE51"/>
    <w:rsid w:val="63B934E2"/>
    <w:rsid w:val="64664CAE"/>
    <w:rsid w:val="652F1A84"/>
    <w:rsid w:val="66C8AF48"/>
    <w:rsid w:val="6730E248"/>
    <w:rsid w:val="6739AC81"/>
    <w:rsid w:val="67455422"/>
    <w:rsid w:val="67F333C0"/>
    <w:rsid w:val="6910F4B7"/>
    <w:rsid w:val="6A1E757A"/>
    <w:rsid w:val="6A2FA198"/>
    <w:rsid w:val="6A320743"/>
    <w:rsid w:val="6A7485C6"/>
    <w:rsid w:val="6AA3970D"/>
    <w:rsid w:val="6B4BE7D9"/>
    <w:rsid w:val="6BB814D9"/>
    <w:rsid w:val="6BE8D164"/>
    <w:rsid w:val="6BF1435E"/>
    <w:rsid w:val="6C86DDC8"/>
    <w:rsid w:val="6CAA23BE"/>
    <w:rsid w:val="6CD0917F"/>
    <w:rsid w:val="6D40835C"/>
    <w:rsid w:val="6D754E20"/>
    <w:rsid w:val="6DB8A6B7"/>
    <w:rsid w:val="6E25ADBB"/>
    <w:rsid w:val="6EA70526"/>
    <w:rsid w:val="6EF2FDF6"/>
    <w:rsid w:val="6EFAC2C0"/>
    <w:rsid w:val="6F60EC3D"/>
    <w:rsid w:val="6F61E02D"/>
    <w:rsid w:val="701BBB75"/>
    <w:rsid w:val="702DACA3"/>
    <w:rsid w:val="70A27444"/>
    <w:rsid w:val="70DD18B4"/>
    <w:rsid w:val="71FC2EA0"/>
    <w:rsid w:val="7296D1AD"/>
    <w:rsid w:val="72BC2313"/>
    <w:rsid w:val="73114D04"/>
    <w:rsid w:val="7395DC10"/>
    <w:rsid w:val="73FAA6E7"/>
    <w:rsid w:val="740F2E39"/>
    <w:rsid w:val="749F221A"/>
    <w:rsid w:val="75C079E5"/>
    <w:rsid w:val="75FCC73C"/>
    <w:rsid w:val="76C0E44A"/>
    <w:rsid w:val="76C563D6"/>
    <w:rsid w:val="781428BA"/>
    <w:rsid w:val="78359113"/>
    <w:rsid w:val="78AA288B"/>
    <w:rsid w:val="78D8C67E"/>
    <w:rsid w:val="797B9973"/>
    <w:rsid w:val="7BAA5D42"/>
    <w:rsid w:val="7C3C62DB"/>
    <w:rsid w:val="7C47594C"/>
    <w:rsid w:val="7D013A6C"/>
    <w:rsid w:val="7D16AB3D"/>
    <w:rsid w:val="7D312C39"/>
    <w:rsid w:val="7D915483"/>
    <w:rsid w:val="7E067794"/>
    <w:rsid w:val="7ECD4747"/>
    <w:rsid w:val="7EECB1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6B1E"/>
  <w15:docId w15:val="{F7656131-4FBE-4758-A2AC-B2E6FDC0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33"/>
    <w:pPr>
      <w:spacing w:after="0" w:line="240" w:lineRule="auto"/>
    </w:pPr>
    <w:rPr>
      <w:rFonts w:ascii="Georgia" w:hAnsi="Georg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3D33"/>
  </w:style>
  <w:style w:type="paragraph" w:styleId="ListParagraph">
    <w:name w:val="List Paragraph"/>
    <w:basedOn w:val="Normal"/>
    <w:uiPriority w:val="34"/>
    <w:qFormat/>
    <w:rsid w:val="00333D3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308B2"/>
    <w:rPr>
      <w:sz w:val="16"/>
      <w:szCs w:val="16"/>
    </w:rPr>
  </w:style>
  <w:style w:type="paragraph" w:styleId="CommentText">
    <w:name w:val="annotation text"/>
    <w:basedOn w:val="Normal"/>
    <w:link w:val="CommentTextChar"/>
    <w:uiPriority w:val="99"/>
    <w:unhideWhenUsed/>
    <w:rsid w:val="009308B2"/>
    <w:rPr>
      <w:sz w:val="20"/>
      <w:szCs w:val="20"/>
    </w:rPr>
  </w:style>
  <w:style w:type="character" w:customStyle="1" w:styleId="CommentTextChar">
    <w:name w:val="Comment Text Char"/>
    <w:basedOn w:val="DefaultParagraphFont"/>
    <w:link w:val="CommentText"/>
    <w:uiPriority w:val="99"/>
    <w:rsid w:val="009308B2"/>
    <w:rPr>
      <w:rFonts w:ascii="Georgia"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08B2"/>
    <w:rPr>
      <w:b/>
      <w:bCs/>
    </w:rPr>
  </w:style>
  <w:style w:type="character" w:customStyle="1" w:styleId="CommentSubjectChar">
    <w:name w:val="Comment Subject Char"/>
    <w:basedOn w:val="CommentTextChar"/>
    <w:link w:val="CommentSubject"/>
    <w:uiPriority w:val="99"/>
    <w:semiHidden/>
    <w:rsid w:val="009308B2"/>
    <w:rPr>
      <w:rFonts w:ascii="Georgia" w:hAnsi="Georgia" w:cs="Times New Roman"/>
      <w:b/>
      <w:bCs/>
      <w:sz w:val="20"/>
      <w:szCs w:val="20"/>
      <w:lang w:eastAsia="en-GB"/>
    </w:rPr>
  </w:style>
  <w:style w:type="paragraph" w:styleId="BalloonText">
    <w:name w:val="Balloon Text"/>
    <w:basedOn w:val="Normal"/>
    <w:link w:val="BalloonTextChar"/>
    <w:uiPriority w:val="99"/>
    <w:semiHidden/>
    <w:unhideWhenUsed/>
    <w:rsid w:val="0093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B2"/>
    <w:rPr>
      <w:rFonts w:ascii="Segoe UI" w:hAnsi="Segoe UI" w:cs="Segoe UI"/>
      <w:sz w:val="18"/>
      <w:szCs w:val="18"/>
      <w:lang w:eastAsia="en-GB"/>
    </w:rPr>
  </w:style>
  <w:style w:type="paragraph" w:styleId="Header">
    <w:name w:val="header"/>
    <w:basedOn w:val="Normal"/>
    <w:link w:val="HeaderChar"/>
    <w:uiPriority w:val="99"/>
    <w:unhideWhenUsed/>
    <w:rsid w:val="00896475"/>
    <w:pPr>
      <w:tabs>
        <w:tab w:val="center" w:pos="4680"/>
        <w:tab w:val="right" w:pos="9360"/>
      </w:tabs>
    </w:pPr>
  </w:style>
  <w:style w:type="character" w:customStyle="1" w:styleId="HeaderChar">
    <w:name w:val="Header Char"/>
    <w:basedOn w:val="DefaultParagraphFont"/>
    <w:link w:val="Header"/>
    <w:uiPriority w:val="99"/>
    <w:rsid w:val="00896475"/>
    <w:rPr>
      <w:rFonts w:ascii="Georgia" w:hAnsi="Georgia" w:cs="Times New Roman"/>
      <w:lang w:eastAsia="en-GB"/>
    </w:rPr>
  </w:style>
  <w:style w:type="paragraph" w:styleId="Footer">
    <w:name w:val="footer"/>
    <w:basedOn w:val="Normal"/>
    <w:link w:val="FooterChar"/>
    <w:uiPriority w:val="99"/>
    <w:unhideWhenUsed/>
    <w:rsid w:val="00896475"/>
    <w:pPr>
      <w:tabs>
        <w:tab w:val="center" w:pos="4680"/>
        <w:tab w:val="right" w:pos="9360"/>
      </w:tabs>
    </w:pPr>
  </w:style>
  <w:style w:type="character" w:customStyle="1" w:styleId="FooterChar">
    <w:name w:val="Footer Char"/>
    <w:basedOn w:val="DefaultParagraphFont"/>
    <w:link w:val="Footer"/>
    <w:uiPriority w:val="99"/>
    <w:rsid w:val="00896475"/>
    <w:rPr>
      <w:rFonts w:ascii="Georgia" w:hAnsi="Georgia" w:cs="Times New Roman"/>
      <w:lang w:eastAsia="en-GB"/>
    </w:rPr>
  </w:style>
  <w:style w:type="paragraph" w:styleId="Revision">
    <w:name w:val="Revision"/>
    <w:hidden/>
    <w:uiPriority w:val="99"/>
    <w:semiHidden/>
    <w:rsid w:val="008453A8"/>
    <w:pPr>
      <w:spacing w:after="0" w:line="240" w:lineRule="auto"/>
    </w:pPr>
    <w:rPr>
      <w:rFonts w:ascii="Georgia" w:hAnsi="Georgia" w:cs="Times New Roman"/>
      <w:lang w:eastAsia="en-GB"/>
    </w:rPr>
  </w:style>
  <w:style w:type="table" w:styleId="TableGrid">
    <w:name w:val="Table Grid"/>
    <w:basedOn w:val="TableNormal"/>
    <w:uiPriority w:val="39"/>
    <w:rsid w:val="00DA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9687F"/>
  </w:style>
  <w:style w:type="character" w:styleId="Mention">
    <w:name w:val="Mention"/>
    <w:basedOn w:val="DefaultParagraphFont"/>
    <w:uiPriority w:val="99"/>
    <w:unhideWhenUsed/>
    <w:rsid w:val="00B95A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9378">
      <w:bodyDiv w:val="1"/>
      <w:marLeft w:val="0"/>
      <w:marRight w:val="0"/>
      <w:marTop w:val="0"/>
      <w:marBottom w:val="0"/>
      <w:divBdr>
        <w:top w:val="none" w:sz="0" w:space="0" w:color="auto"/>
        <w:left w:val="none" w:sz="0" w:space="0" w:color="auto"/>
        <w:bottom w:val="none" w:sz="0" w:space="0" w:color="auto"/>
        <w:right w:val="none" w:sz="0" w:space="0" w:color="auto"/>
      </w:divBdr>
      <w:divsChild>
        <w:div w:id="260141257">
          <w:marLeft w:val="0"/>
          <w:marRight w:val="0"/>
          <w:marTop w:val="0"/>
          <w:marBottom w:val="0"/>
          <w:divBdr>
            <w:top w:val="none" w:sz="0" w:space="0" w:color="auto"/>
            <w:left w:val="none" w:sz="0" w:space="0" w:color="auto"/>
            <w:bottom w:val="none" w:sz="0" w:space="0" w:color="auto"/>
            <w:right w:val="none" w:sz="0" w:space="0" w:color="auto"/>
          </w:divBdr>
          <w:divsChild>
            <w:div w:id="179469378">
              <w:marLeft w:val="0"/>
              <w:marRight w:val="0"/>
              <w:marTop w:val="30"/>
              <w:marBottom w:val="30"/>
              <w:divBdr>
                <w:top w:val="none" w:sz="0" w:space="0" w:color="auto"/>
                <w:left w:val="none" w:sz="0" w:space="0" w:color="auto"/>
                <w:bottom w:val="none" w:sz="0" w:space="0" w:color="auto"/>
                <w:right w:val="none" w:sz="0" w:space="0" w:color="auto"/>
              </w:divBdr>
              <w:divsChild>
                <w:div w:id="47457582">
                  <w:marLeft w:val="0"/>
                  <w:marRight w:val="0"/>
                  <w:marTop w:val="0"/>
                  <w:marBottom w:val="0"/>
                  <w:divBdr>
                    <w:top w:val="none" w:sz="0" w:space="0" w:color="auto"/>
                    <w:left w:val="none" w:sz="0" w:space="0" w:color="auto"/>
                    <w:bottom w:val="none" w:sz="0" w:space="0" w:color="auto"/>
                    <w:right w:val="none" w:sz="0" w:space="0" w:color="auto"/>
                  </w:divBdr>
                  <w:divsChild>
                    <w:div w:id="1200510979">
                      <w:marLeft w:val="0"/>
                      <w:marRight w:val="0"/>
                      <w:marTop w:val="0"/>
                      <w:marBottom w:val="0"/>
                      <w:divBdr>
                        <w:top w:val="none" w:sz="0" w:space="0" w:color="auto"/>
                        <w:left w:val="none" w:sz="0" w:space="0" w:color="auto"/>
                        <w:bottom w:val="none" w:sz="0" w:space="0" w:color="auto"/>
                        <w:right w:val="none" w:sz="0" w:space="0" w:color="auto"/>
                      </w:divBdr>
                    </w:div>
                  </w:divsChild>
                </w:div>
                <w:div w:id="68425671">
                  <w:marLeft w:val="0"/>
                  <w:marRight w:val="0"/>
                  <w:marTop w:val="0"/>
                  <w:marBottom w:val="0"/>
                  <w:divBdr>
                    <w:top w:val="none" w:sz="0" w:space="0" w:color="auto"/>
                    <w:left w:val="none" w:sz="0" w:space="0" w:color="auto"/>
                    <w:bottom w:val="none" w:sz="0" w:space="0" w:color="auto"/>
                    <w:right w:val="none" w:sz="0" w:space="0" w:color="auto"/>
                  </w:divBdr>
                  <w:divsChild>
                    <w:div w:id="50227417">
                      <w:marLeft w:val="0"/>
                      <w:marRight w:val="0"/>
                      <w:marTop w:val="0"/>
                      <w:marBottom w:val="0"/>
                      <w:divBdr>
                        <w:top w:val="none" w:sz="0" w:space="0" w:color="auto"/>
                        <w:left w:val="none" w:sz="0" w:space="0" w:color="auto"/>
                        <w:bottom w:val="none" w:sz="0" w:space="0" w:color="auto"/>
                        <w:right w:val="none" w:sz="0" w:space="0" w:color="auto"/>
                      </w:divBdr>
                    </w:div>
                  </w:divsChild>
                </w:div>
                <w:div w:id="196428565">
                  <w:marLeft w:val="0"/>
                  <w:marRight w:val="0"/>
                  <w:marTop w:val="0"/>
                  <w:marBottom w:val="0"/>
                  <w:divBdr>
                    <w:top w:val="none" w:sz="0" w:space="0" w:color="auto"/>
                    <w:left w:val="none" w:sz="0" w:space="0" w:color="auto"/>
                    <w:bottom w:val="none" w:sz="0" w:space="0" w:color="auto"/>
                    <w:right w:val="none" w:sz="0" w:space="0" w:color="auto"/>
                  </w:divBdr>
                  <w:divsChild>
                    <w:div w:id="580405226">
                      <w:marLeft w:val="0"/>
                      <w:marRight w:val="0"/>
                      <w:marTop w:val="0"/>
                      <w:marBottom w:val="0"/>
                      <w:divBdr>
                        <w:top w:val="none" w:sz="0" w:space="0" w:color="auto"/>
                        <w:left w:val="none" w:sz="0" w:space="0" w:color="auto"/>
                        <w:bottom w:val="none" w:sz="0" w:space="0" w:color="auto"/>
                        <w:right w:val="none" w:sz="0" w:space="0" w:color="auto"/>
                      </w:divBdr>
                    </w:div>
                  </w:divsChild>
                </w:div>
                <w:div w:id="310717770">
                  <w:marLeft w:val="0"/>
                  <w:marRight w:val="0"/>
                  <w:marTop w:val="0"/>
                  <w:marBottom w:val="0"/>
                  <w:divBdr>
                    <w:top w:val="none" w:sz="0" w:space="0" w:color="auto"/>
                    <w:left w:val="none" w:sz="0" w:space="0" w:color="auto"/>
                    <w:bottom w:val="none" w:sz="0" w:space="0" w:color="auto"/>
                    <w:right w:val="none" w:sz="0" w:space="0" w:color="auto"/>
                  </w:divBdr>
                  <w:divsChild>
                    <w:div w:id="2016809612">
                      <w:marLeft w:val="0"/>
                      <w:marRight w:val="0"/>
                      <w:marTop w:val="0"/>
                      <w:marBottom w:val="0"/>
                      <w:divBdr>
                        <w:top w:val="none" w:sz="0" w:space="0" w:color="auto"/>
                        <w:left w:val="none" w:sz="0" w:space="0" w:color="auto"/>
                        <w:bottom w:val="none" w:sz="0" w:space="0" w:color="auto"/>
                        <w:right w:val="none" w:sz="0" w:space="0" w:color="auto"/>
                      </w:divBdr>
                    </w:div>
                  </w:divsChild>
                </w:div>
                <w:div w:id="459303858">
                  <w:marLeft w:val="0"/>
                  <w:marRight w:val="0"/>
                  <w:marTop w:val="0"/>
                  <w:marBottom w:val="0"/>
                  <w:divBdr>
                    <w:top w:val="none" w:sz="0" w:space="0" w:color="auto"/>
                    <w:left w:val="none" w:sz="0" w:space="0" w:color="auto"/>
                    <w:bottom w:val="none" w:sz="0" w:space="0" w:color="auto"/>
                    <w:right w:val="none" w:sz="0" w:space="0" w:color="auto"/>
                  </w:divBdr>
                  <w:divsChild>
                    <w:div w:id="630330023">
                      <w:marLeft w:val="0"/>
                      <w:marRight w:val="0"/>
                      <w:marTop w:val="0"/>
                      <w:marBottom w:val="0"/>
                      <w:divBdr>
                        <w:top w:val="none" w:sz="0" w:space="0" w:color="auto"/>
                        <w:left w:val="none" w:sz="0" w:space="0" w:color="auto"/>
                        <w:bottom w:val="none" w:sz="0" w:space="0" w:color="auto"/>
                        <w:right w:val="none" w:sz="0" w:space="0" w:color="auto"/>
                      </w:divBdr>
                    </w:div>
                  </w:divsChild>
                </w:div>
                <w:div w:id="612446011">
                  <w:marLeft w:val="0"/>
                  <w:marRight w:val="0"/>
                  <w:marTop w:val="0"/>
                  <w:marBottom w:val="0"/>
                  <w:divBdr>
                    <w:top w:val="none" w:sz="0" w:space="0" w:color="auto"/>
                    <w:left w:val="none" w:sz="0" w:space="0" w:color="auto"/>
                    <w:bottom w:val="none" w:sz="0" w:space="0" w:color="auto"/>
                    <w:right w:val="none" w:sz="0" w:space="0" w:color="auto"/>
                  </w:divBdr>
                  <w:divsChild>
                    <w:div w:id="1896232277">
                      <w:marLeft w:val="0"/>
                      <w:marRight w:val="0"/>
                      <w:marTop w:val="0"/>
                      <w:marBottom w:val="0"/>
                      <w:divBdr>
                        <w:top w:val="none" w:sz="0" w:space="0" w:color="auto"/>
                        <w:left w:val="none" w:sz="0" w:space="0" w:color="auto"/>
                        <w:bottom w:val="none" w:sz="0" w:space="0" w:color="auto"/>
                        <w:right w:val="none" w:sz="0" w:space="0" w:color="auto"/>
                      </w:divBdr>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754007123">
                      <w:marLeft w:val="0"/>
                      <w:marRight w:val="0"/>
                      <w:marTop w:val="0"/>
                      <w:marBottom w:val="0"/>
                      <w:divBdr>
                        <w:top w:val="none" w:sz="0" w:space="0" w:color="auto"/>
                        <w:left w:val="none" w:sz="0" w:space="0" w:color="auto"/>
                        <w:bottom w:val="none" w:sz="0" w:space="0" w:color="auto"/>
                        <w:right w:val="none" w:sz="0" w:space="0" w:color="auto"/>
                      </w:divBdr>
                    </w:div>
                  </w:divsChild>
                </w:div>
                <w:div w:id="810632496">
                  <w:marLeft w:val="0"/>
                  <w:marRight w:val="0"/>
                  <w:marTop w:val="0"/>
                  <w:marBottom w:val="0"/>
                  <w:divBdr>
                    <w:top w:val="none" w:sz="0" w:space="0" w:color="auto"/>
                    <w:left w:val="none" w:sz="0" w:space="0" w:color="auto"/>
                    <w:bottom w:val="none" w:sz="0" w:space="0" w:color="auto"/>
                    <w:right w:val="none" w:sz="0" w:space="0" w:color="auto"/>
                  </w:divBdr>
                  <w:divsChild>
                    <w:div w:id="278536833">
                      <w:marLeft w:val="0"/>
                      <w:marRight w:val="0"/>
                      <w:marTop w:val="0"/>
                      <w:marBottom w:val="0"/>
                      <w:divBdr>
                        <w:top w:val="none" w:sz="0" w:space="0" w:color="auto"/>
                        <w:left w:val="none" w:sz="0" w:space="0" w:color="auto"/>
                        <w:bottom w:val="none" w:sz="0" w:space="0" w:color="auto"/>
                        <w:right w:val="none" w:sz="0" w:space="0" w:color="auto"/>
                      </w:divBdr>
                    </w:div>
                  </w:divsChild>
                </w:div>
                <w:div w:id="993530723">
                  <w:marLeft w:val="0"/>
                  <w:marRight w:val="0"/>
                  <w:marTop w:val="0"/>
                  <w:marBottom w:val="0"/>
                  <w:divBdr>
                    <w:top w:val="none" w:sz="0" w:space="0" w:color="auto"/>
                    <w:left w:val="none" w:sz="0" w:space="0" w:color="auto"/>
                    <w:bottom w:val="none" w:sz="0" w:space="0" w:color="auto"/>
                    <w:right w:val="none" w:sz="0" w:space="0" w:color="auto"/>
                  </w:divBdr>
                  <w:divsChild>
                    <w:div w:id="365446103">
                      <w:marLeft w:val="0"/>
                      <w:marRight w:val="0"/>
                      <w:marTop w:val="0"/>
                      <w:marBottom w:val="0"/>
                      <w:divBdr>
                        <w:top w:val="none" w:sz="0" w:space="0" w:color="auto"/>
                        <w:left w:val="none" w:sz="0" w:space="0" w:color="auto"/>
                        <w:bottom w:val="none" w:sz="0" w:space="0" w:color="auto"/>
                        <w:right w:val="none" w:sz="0" w:space="0" w:color="auto"/>
                      </w:divBdr>
                    </w:div>
                  </w:divsChild>
                </w:div>
                <w:div w:id="1039747171">
                  <w:marLeft w:val="0"/>
                  <w:marRight w:val="0"/>
                  <w:marTop w:val="0"/>
                  <w:marBottom w:val="0"/>
                  <w:divBdr>
                    <w:top w:val="none" w:sz="0" w:space="0" w:color="auto"/>
                    <w:left w:val="none" w:sz="0" w:space="0" w:color="auto"/>
                    <w:bottom w:val="none" w:sz="0" w:space="0" w:color="auto"/>
                    <w:right w:val="none" w:sz="0" w:space="0" w:color="auto"/>
                  </w:divBdr>
                  <w:divsChild>
                    <w:div w:id="1187711825">
                      <w:marLeft w:val="0"/>
                      <w:marRight w:val="0"/>
                      <w:marTop w:val="0"/>
                      <w:marBottom w:val="0"/>
                      <w:divBdr>
                        <w:top w:val="none" w:sz="0" w:space="0" w:color="auto"/>
                        <w:left w:val="none" w:sz="0" w:space="0" w:color="auto"/>
                        <w:bottom w:val="none" w:sz="0" w:space="0" w:color="auto"/>
                        <w:right w:val="none" w:sz="0" w:space="0" w:color="auto"/>
                      </w:divBdr>
                    </w:div>
                  </w:divsChild>
                </w:div>
                <w:div w:id="1251037557">
                  <w:marLeft w:val="0"/>
                  <w:marRight w:val="0"/>
                  <w:marTop w:val="0"/>
                  <w:marBottom w:val="0"/>
                  <w:divBdr>
                    <w:top w:val="none" w:sz="0" w:space="0" w:color="auto"/>
                    <w:left w:val="none" w:sz="0" w:space="0" w:color="auto"/>
                    <w:bottom w:val="none" w:sz="0" w:space="0" w:color="auto"/>
                    <w:right w:val="none" w:sz="0" w:space="0" w:color="auto"/>
                  </w:divBdr>
                  <w:divsChild>
                    <w:div w:id="285502323">
                      <w:marLeft w:val="0"/>
                      <w:marRight w:val="0"/>
                      <w:marTop w:val="0"/>
                      <w:marBottom w:val="0"/>
                      <w:divBdr>
                        <w:top w:val="none" w:sz="0" w:space="0" w:color="auto"/>
                        <w:left w:val="none" w:sz="0" w:space="0" w:color="auto"/>
                        <w:bottom w:val="none" w:sz="0" w:space="0" w:color="auto"/>
                        <w:right w:val="none" w:sz="0" w:space="0" w:color="auto"/>
                      </w:divBdr>
                    </w:div>
                  </w:divsChild>
                </w:div>
                <w:div w:id="1392003540">
                  <w:marLeft w:val="0"/>
                  <w:marRight w:val="0"/>
                  <w:marTop w:val="0"/>
                  <w:marBottom w:val="0"/>
                  <w:divBdr>
                    <w:top w:val="none" w:sz="0" w:space="0" w:color="auto"/>
                    <w:left w:val="none" w:sz="0" w:space="0" w:color="auto"/>
                    <w:bottom w:val="none" w:sz="0" w:space="0" w:color="auto"/>
                    <w:right w:val="none" w:sz="0" w:space="0" w:color="auto"/>
                  </w:divBdr>
                  <w:divsChild>
                    <w:div w:id="998852348">
                      <w:marLeft w:val="0"/>
                      <w:marRight w:val="0"/>
                      <w:marTop w:val="0"/>
                      <w:marBottom w:val="0"/>
                      <w:divBdr>
                        <w:top w:val="none" w:sz="0" w:space="0" w:color="auto"/>
                        <w:left w:val="none" w:sz="0" w:space="0" w:color="auto"/>
                        <w:bottom w:val="none" w:sz="0" w:space="0" w:color="auto"/>
                        <w:right w:val="none" w:sz="0" w:space="0" w:color="auto"/>
                      </w:divBdr>
                    </w:div>
                  </w:divsChild>
                </w:div>
                <w:div w:id="1669673461">
                  <w:marLeft w:val="0"/>
                  <w:marRight w:val="0"/>
                  <w:marTop w:val="0"/>
                  <w:marBottom w:val="0"/>
                  <w:divBdr>
                    <w:top w:val="none" w:sz="0" w:space="0" w:color="auto"/>
                    <w:left w:val="none" w:sz="0" w:space="0" w:color="auto"/>
                    <w:bottom w:val="none" w:sz="0" w:space="0" w:color="auto"/>
                    <w:right w:val="none" w:sz="0" w:space="0" w:color="auto"/>
                  </w:divBdr>
                  <w:divsChild>
                    <w:div w:id="199365112">
                      <w:marLeft w:val="0"/>
                      <w:marRight w:val="0"/>
                      <w:marTop w:val="0"/>
                      <w:marBottom w:val="0"/>
                      <w:divBdr>
                        <w:top w:val="none" w:sz="0" w:space="0" w:color="auto"/>
                        <w:left w:val="none" w:sz="0" w:space="0" w:color="auto"/>
                        <w:bottom w:val="none" w:sz="0" w:space="0" w:color="auto"/>
                        <w:right w:val="none" w:sz="0" w:space="0" w:color="auto"/>
                      </w:divBdr>
                    </w:div>
                  </w:divsChild>
                </w:div>
                <w:div w:id="1887643986">
                  <w:marLeft w:val="0"/>
                  <w:marRight w:val="0"/>
                  <w:marTop w:val="0"/>
                  <w:marBottom w:val="0"/>
                  <w:divBdr>
                    <w:top w:val="none" w:sz="0" w:space="0" w:color="auto"/>
                    <w:left w:val="none" w:sz="0" w:space="0" w:color="auto"/>
                    <w:bottom w:val="none" w:sz="0" w:space="0" w:color="auto"/>
                    <w:right w:val="none" w:sz="0" w:space="0" w:color="auto"/>
                  </w:divBdr>
                  <w:divsChild>
                    <w:div w:id="3710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5273">
          <w:marLeft w:val="0"/>
          <w:marRight w:val="0"/>
          <w:marTop w:val="0"/>
          <w:marBottom w:val="0"/>
          <w:divBdr>
            <w:top w:val="none" w:sz="0" w:space="0" w:color="auto"/>
            <w:left w:val="none" w:sz="0" w:space="0" w:color="auto"/>
            <w:bottom w:val="none" w:sz="0" w:space="0" w:color="auto"/>
            <w:right w:val="none" w:sz="0" w:space="0" w:color="auto"/>
          </w:divBdr>
        </w:div>
      </w:divsChild>
    </w:div>
    <w:div w:id="256718425">
      <w:bodyDiv w:val="1"/>
      <w:marLeft w:val="0"/>
      <w:marRight w:val="0"/>
      <w:marTop w:val="0"/>
      <w:marBottom w:val="0"/>
      <w:divBdr>
        <w:top w:val="none" w:sz="0" w:space="0" w:color="auto"/>
        <w:left w:val="none" w:sz="0" w:space="0" w:color="auto"/>
        <w:bottom w:val="none" w:sz="0" w:space="0" w:color="auto"/>
        <w:right w:val="none" w:sz="0" w:space="0" w:color="auto"/>
      </w:divBdr>
      <w:divsChild>
        <w:div w:id="1568148738">
          <w:marLeft w:val="0"/>
          <w:marRight w:val="0"/>
          <w:marTop w:val="0"/>
          <w:marBottom w:val="0"/>
          <w:divBdr>
            <w:top w:val="none" w:sz="0" w:space="0" w:color="auto"/>
            <w:left w:val="none" w:sz="0" w:space="0" w:color="auto"/>
            <w:bottom w:val="none" w:sz="0" w:space="0" w:color="auto"/>
            <w:right w:val="none" w:sz="0" w:space="0" w:color="auto"/>
          </w:divBdr>
          <w:divsChild>
            <w:div w:id="622151881">
              <w:marLeft w:val="0"/>
              <w:marRight w:val="0"/>
              <w:marTop w:val="30"/>
              <w:marBottom w:val="30"/>
              <w:divBdr>
                <w:top w:val="none" w:sz="0" w:space="0" w:color="auto"/>
                <w:left w:val="none" w:sz="0" w:space="0" w:color="auto"/>
                <w:bottom w:val="none" w:sz="0" w:space="0" w:color="auto"/>
                <w:right w:val="none" w:sz="0" w:space="0" w:color="auto"/>
              </w:divBdr>
              <w:divsChild>
                <w:div w:id="75520332">
                  <w:marLeft w:val="0"/>
                  <w:marRight w:val="0"/>
                  <w:marTop w:val="0"/>
                  <w:marBottom w:val="0"/>
                  <w:divBdr>
                    <w:top w:val="none" w:sz="0" w:space="0" w:color="auto"/>
                    <w:left w:val="none" w:sz="0" w:space="0" w:color="auto"/>
                    <w:bottom w:val="none" w:sz="0" w:space="0" w:color="auto"/>
                    <w:right w:val="none" w:sz="0" w:space="0" w:color="auto"/>
                  </w:divBdr>
                  <w:divsChild>
                    <w:div w:id="1666277009">
                      <w:marLeft w:val="0"/>
                      <w:marRight w:val="0"/>
                      <w:marTop w:val="0"/>
                      <w:marBottom w:val="0"/>
                      <w:divBdr>
                        <w:top w:val="none" w:sz="0" w:space="0" w:color="auto"/>
                        <w:left w:val="none" w:sz="0" w:space="0" w:color="auto"/>
                        <w:bottom w:val="none" w:sz="0" w:space="0" w:color="auto"/>
                        <w:right w:val="none" w:sz="0" w:space="0" w:color="auto"/>
                      </w:divBdr>
                    </w:div>
                  </w:divsChild>
                </w:div>
                <w:div w:id="154152098">
                  <w:marLeft w:val="0"/>
                  <w:marRight w:val="0"/>
                  <w:marTop w:val="0"/>
                  <w:marBottom w:val="0"/>
                  <w:divBdr>
                    <w:top w:val="none" w:sz="0" w:space="0" w:color="auto"/>
                    <w:left w:val="none" w:sz="0" w:space="0" w:color="auto"/>
                    <w:bottom w:val="none" w:sz="0" w:space="0" w:color="auto"/>
                    <w:right w:val="none" w:sz="0" w:space="0" w:color="auto"/>
                  </w:divBdr>
                  <w:divsChild>
                    <w:div w:id="64182485">
                      <w:marLeft w:val="0"/>
                      <w:marRight w:val="0"/>
                      <w:marTop w:val="0"/>
                      <w:marBottom w:val="0"/>
                      <w:divBdr>
                        <w:top w:val="none" w:sz="0" w:space="0" w:color="auto"/>
                        <w:left w:val="none" w:sz="0" w:space="0" w:color="auto"/>
                        <w:bottom w:val="none" w:sz="0" w:space="0" w:color="auto"/>
                        <w:right w:val="none" w:sz="0" w:space="0" w:color="auto"/>
                      </w:divBdr>
                    </w:div>
                  </w:divsChild>
                </w:div>
                <w:div w:id="744180885">
                  <w:marLeft w:val="0"/>
                  <w:marRight w:val="0"/>
                  <w:marTop w:val="0"/>
                  <w:marBottom w:val="0"/>
                  <w:divBdr>
                    <w:top w:val="none" w:sz="0" w:space="0" w:color="auto"/>
                    <w:left w:val="none" w:sz="0" w:space="0" w:color="auto"/>
                    <w:bottom w:val="none" w:sz="0" w:space="0" w:color="auto"/>
                    <w:right w:val="none" w:sz="0" w:space="0" w:color="auto"/>
                  </w:divBdr>
                  <w:divsChild>
                    <w:div w:id="1003893705">
                      <w:marLeft w:val="0"/>
                      <w:marRight w:val="0"/>
                      <w:marTop w:val="0"/>
                      <w:marBottom w:val="0"/>
                      <w:divBdr>
                        <w:top w:val="none" w:sz="0" w:space="0" w:color="auto"/>
                        <w:left w:val="none" w:sz="0" w:space="0" w:color="auto"/>
                        <w:bottom w:val="none" w:sz="0" w:space="0" w:color="auto"/>
                        <w:right w:val="none" w:sz="0" w:space="0" w:color="auto"/>
                      </w:divBdr>
                    </w:div>
                  </w:divsChild>
                </w:div>
                <w:div w:id="776755927">
                  <w:marLeft w:val="0"/>
                  <w:marRight w:val="0"/>
                  <w:marTop w:val="0"/>
                  <w:marBottom w:val="0"/>
                  <w:divBdr>
                    <w:top w:val="none" w:sz="0" w:space="0" w:color="auto"/>
                    <w:left w:val="none" w:sz="0" w:space="0" w:color="auto"/>
                    <w:bottom w:val="none" w:sz="0" w:space="0" w:color="auto"/>
                    <w:right w:val="none" w:sz="0" w:space="0" w:color="auto"/>
                  </w:divBdr>
                  <w:divsChild>
                    <w:div w:id="317465463">
                      <w:marLeft w:val="0"/>
                      <w:marRight w:val="0"/>
                      <w:marTop w:val="0"/>
                      <w:marBottom w:val="0"/>
                      <w:divBdr>
                        <w:top w:val="none" w:sz="0" w:space="0" w:color="auto"/>
                        <w:left w:val="none" w:sz="0" w:space="0" w:color="auto"/>
                        <w:bottom w:val="none" w:sz="0" w:space="0" w:color="auto"/>
                        <w:right w:val="none" w:sz="0" w:space="0" w:color="auto"/>
                      </w:divBdr>
                    </w:div>
                  </w:divsChild>
                </w:div>
                <w:div w:id="921183650">
                  <w:marLeft w:val="0"/>
                  <w:marRight w:val="0"/>
                  <w:marTop w:val="0"/>
                  <w:marBottom w:val="0"/>
                  <w:divBdr>
                    <w:top w:val="none" w:sz="0" w:space="0" w:color="auto"/>
                    <w:left w:val="none" w:sz="0" w:space="0" w:color="auto"/>
                    <w:bottom w:val="none" w:sz="0" w:space="0" w:color="auto"/>
                    <w:right w:val="none" w:sz="0" w:space="0" w:color="auto"/>
                  </w:divBdr>
                  <w:divsChild>
                    <w:div w:id="1110969733">
                      <w:marLeft w:val="0"/>
                      <w:marRight w:val="0"/>
                      <w:marTop w:val="0"/>
                      <w:marBottom w:val="0"/>
                      <w:divBdr>
                        <w:top w:val="none" w:sz="0" w:space="0" w:color="auto"/>
                        <w:left w:val="none" w:sz="0" w:space="0" w:color="auto"/>
                        <w:bottom w:val="none" w:sz="0" w:space="0" w:color="auto"/>
                        <w:right w:val="none" w:sz="0" w:space="0" w:color="auto"/>
                      </w:divBdr>
                    </w:div>
                  </w:divsChild>
                </w:div>
                <w:div w:id="938097351">
                  <w:marLeft w:val="0"/>
                  <w:marRight w:val="0"/>
                  <w:marTop w:val="0"/>
                  <w:marBottom w:val="0"/>
                  <w:divBdr>
                    <w:top w:val="none" w:sz="0" w:space="0" w:color="auto"/>
                    <w:left w:val="none" w:sz="0" w:space="0" w:color="auto"/>
                    <w:bottom w:val="none" w:sz="0" w:space="0" w:color="auto"/>
                    <w:right w:val="none" w:sz="0" w:space="0" w:color="auto"/>
                  </w:divBdr>
                  <w:divsChild>
                    <w:div w:id="1891453438">
                      <w:marLeft w:val="0"/>
                      <w:marRight w:val="0"/>
                      <w:marTop w:val="0"/>
                      <w:marBottom w:val="0"/>
                      <w:divBdr>
                        <w:top w:val="none" w:sz="0" w:space="0" w:color="auto"/>
                        <w:left w:val="none" w:sz="0" w:space="0" w:color="auto"/>
                        <w:bottom w:val="none" w:sz="0" w:space="0" w:color="auto"/>
                        <w:right w:val="none" w:sz="0" w:space="0" w:color="auto"/>
                      </w:divBdr>
                    </w:div>
                  </w:divsChild>
                </w:div>
                <w:div w:id="1065109858">
                  <w:marLeft w:val="0"/>
                  <w:marRight w:val="0"/>
                  <w:marTop w:val="0"/>
                  <w:marBottom w:val="0"/>
                  <w:divBdr>
                    <w:top w:val="none" w:sz="0" w:space="0" w:color="auto"/>
                    <w:left w:val="none" w:sz="0" w:space="0" w:color="auto"/>
                    <w:bottom w:val="none" w:sz="0" w:space="0" w:color="auto"/>
                    <w:right w:val="none" w:sz="0" w:space="0" w:color="auto"/>
                  </w:divBdr>
                  <w:divsChild>
                    <w:div w:id="1226720192">
                      <w:marLeft w:val="0"/>
                      <w:marRight w:val="0"/>
                      <w:marTop w:val="0"/>
                      <w:marBottom w:val="0"/>
                      <w:divBdr>
                        <w:top w:val="none" w:sz="0" w:space="0" w:color="auto"/>
                        <w:left w:val="none" w:sz="0" w:space="0" w:color="auto"/>
                        <w:bottom w:val="none" w:sz="0" w:space="0" w:color="auto"/>
                        <w:right w:val="none" w:sz="0" w:space="0" w:color="auto"/>
                      </w:divBdr>
                    </w:div>
                  </w:divsChild>
                </w:div>
                <w:div w:id="1085609012">
                  <w:marLeft w:val="0"/>
                  <w:marRight w:val="0"/>
                  <w:marTop w:val="0"/>
                  <w:marBottom w:val="0"/>
                  <w:divBdr>
                    <w:top w:val="none" w:sz="0" w:space="0" w:color="auto"/>
                    <w:left w:val="none" w:sz="0" w:space="0" w:color="auto"/>
                    <w:bottom w:val="none" w:sz="0" w:space="0" w:color="auto"/>
                    <w:right w:val="none" w:sz="0" w:space="0" w:color="auto"/>
                  </w:divBdr>
                  <w:divsChild>
                    <w:div w:id="1253969749">
                      <w:marLeft w:val="0"/>
                      <w:marRight w:val="0"/>
                      <w:marTop w:val="0"/>
                      <w:marBottom w:val="0"/>
                      <w:divBdr>
                        <w:top w:val="none" w:sz="0" w:space="0" w:color="auto"/>
                        <w:left w:val="none" w:sz="0" w:space="0" w:color="auto"/>
                        <w:bottom w:val="none" w:sz="0" w:space="0" w:color="auto"/>
                        <w:right w:val="none" w:sz="0" w:space="0" w:color="auto"/>
                      </w:divBdr>
                    </w:div>
                  </w:divsChild>
                </w:div>
                <w:div w:id="1091203380">
                  <w:marLeft w:val="0"/>
                  <w:marRight w:val="0"/>
                  <w:marTop w:val="0"/>
                  <w:marBottom w:val="0"/>
                  <w:divBdr>
                    <w:top w:val="none" w:sz="0" w:space="0" w:color="auto"/>
                    <w:left w:val="none" w:sz="0" w:space="0" w:color="auto"/>
                    <w:bottom w:val="none" w:sz="0" w:space="0" w:color="auto"/>
                    <w:right w:val="none" w:sz="0" w:space="0" w:color="auto"/>
                  </w:divBdr>
                  <w:divsChild>
                    <w:div w:id="362443832">
                      <w:marLeft w:val="0"/>
                      <w:marRight w:val="0"/>
                      <w:marTop w:val="0"/>
                      <w:marBottom w:val="0"/>
                      <w:divBdr>
                        <w:top w:val="none" w:sz="0" w:space="0" w:color="auto"/>
                        <w:left w:val="none" w:sz="0" w:space="0" w:color="auto"/>
                        <w:bottom w:val="none" w:sz="0" w:space="0" w:color="auto"/>
                        <w:right w:val="none" w:sz="0" w:space="0" w:color="auto"/>
                      </w:divBdr>
                    </w:div>
                  </w:divsChild>
                </w:div>
                <w:div w:id="1616130854">
                  <w:marLeft w:val="0"/>
                  <w:marRight w:val="0"/>
                  <w:marTop w:val="0"/>
                  <w:marBottom w:val="0"/>
                  <w:divBdr>
                    <w:top w:val="none" w:sz="0" w:space="0" w:color="auto"/>
                    <w:left w:val="none" w:sz="0" w:space="0" w:color="auto"/>
                    <w:bottom w:val="none" w:sz="0" w:space="0" w:color="auto"/>
                    <w:right w:val="none" w:sz="0" w:space="0" w:color="auto"/>
                  </w:divBdr>
                  <w:divsChild>
                    <w:div w:id="1894152503">
                      <w:marLeft w:val="0"/>
                      <w:marRight w:val="0"/>
                      <w:marTop w:val="0"/>
                      <w:marBottom w:val="0"/>
                      <w:divBdr>
                        <w:top w:val="none" w:sz="0" w:space="0" w:color="auto"/>
                        <w:left w:val="none" w:sz="0" w:space="0" w:color="auto"/>
                        <w:bottom w:val="none" w:sz="0" w:space="0" w:color="auto"/>
                        <w:right w:val="none" w:sz="0" w:space="0" w:color="auto"/>
                      </w:divBdr>
                    </w:div>
                  </w:divsChild>
                </w:div>
                <w:div w:id="1750227888">
                  <w:marLeft w:val="0"/>
                  <w:marRight w:val="0"/>
                  <w:marTop w:val="0"/>
                  <w:marBottom w:val="0"/>
                  <w:divBdr>
                    <w:top w:val="none" w:sz="0" w:space="0" w:color="auto"/>
                    <w:left w:val="none" w:sz="0" w:space="0" w:color="auto"/>
                    <w:bottom w:val="none" w:sz="0" w:space="0" w:color="auto"/>
                    <w:right w:val="none" w:sz="0" w:space="0" w:color="auto"/>
                  </w:divBdr>
                  <w:divsChild>
                    <w:div w:id="2075547500">
                      <w:marLeft w:val="0"/>
                      <w:marRight w:val="0"/>
                      <w:marTop w:val="0"/>
                      <w:marBottom w:val="0"/>
                      <w:divBdr>
                        <w:top w:val="none" w:sz="0" w:space="0" w:color="auto"/>
                        <w:left w:val="none" w:sz="0" w:space="0" w:color="auto"/>
                        <w:bottom w:val="none" w:sz="0" w:space="0" w:color="auto"/>
                        <w:right w:val="none" w:sz="0" w:space="0" w:color="auto"/>
                      </w:divBdr>
                    </w:div>
                  </w:divsChild>
                </w:div>
                <w:div w:id="1819880104">
                  <w:marLeft w:val="0"/>
                  <w:marRight w:val="0"/>
                  <w:marTop w:val="0"/>
                  <w:marBottom w:val="0"/>
                  <w:divBdr>
                    <w:top w:val="none" w:sz="0" w:space="0" w:color="auto"/>
                    <w:left w:val="none" w:sz="0" w:space="0" w:color="auto"/>
                    <w:bottom w:val="none" w:sz="0" w:space="0" w:color="auto"/>
                    <w:right w:val="none" w:sz="0" w:space="0" w:color="auto"/>
                  </w:divBdr>
                  <w:divsChild>
                    <w:div w:id="419179049">
                      <w:marLeft w:val="0"/>
                      <w:marRight w:val="0"/>
                      <w:marTop w:val="0"/>
                      <w:marBottom w:val="0"/>
                      <w:divBdr>
                        <w:top w:val="none" w:sz="0" w:space="0" w:color="auto"/>
                        <w:left w:val="none" w:sz="0" w:space="0" w:color="auto"/>
                        <w:bottom w:val="none" w:sz="0" w:space="0" w:color="auto"/>
                        <w:right w:val="none" w:sz="0" w:space="0" w:color="auto"/>
                      </w:divBdr>
                    </w:div>
                  </w:divsChild>
                </w:div>
                <w:div w:id="1822194218">
                  <w:marLeft w:val="0"/>
                  <w:marRight w:val="0"/>
                  <w:marTop w:val="0"/>
                  <w:marBottom w:val="0"/>
                  <w:divBdr>
                    <w:top w:val="none" w:sz="0" w:space="0" w:color="auto"/>
                    <w:left w:val="none" w:sz="0" w:space="0" w:color="auto"/>
                    <w:bottom w:val="none" w:sz="0" w:space="0" w:color="auto"/>
                    <w:right w:val="none" w:sz="0" w:space="0" w:color="auto"/>
                  </w:divBdr>
                  <w:divsChild>
                    <w:div w:id="413093005">
                      <w:marLeft w:val="0"/>
                      <w:marRight w:val="0"/>
                      <w:marTop w:val="0"/>
                      <w:marBottom w:val="0"/>
                      <w:divBdr>
                        <w:top w:val="none" w:sz="0" w:space="0" w:color="auto"/>
                        <w:left w:val="none" w:sz="0" w:space="0" w:color="auto"/>
                        <w:bottom w:val="none" w:sz="0" w:space="0" w:color="auto"/>
                        <w:right w:val="none" w:sz="0" w:space="0" w:color="auto"/>
                      </w:divBdr>
                    </w:div>
                  </w:divsChild>
                </w:div>
                <w:div w:id="1967857649">
                  <w:marLeft w:val="0"/>
                  <w:marRight w:val="0"/>
                  <w:marTop w:val="0"/>
                  <w:marBottom w:val="0"/>
                  <w:divBdr>
                    <w:top w:val="none" w:sz="0" w:space="0" w:color="auto"/>
                    <w:left w:val="none" w:sz="0" w:space="0" w:color="auto"/>
                    <w:bottom w:val="none" w:sz="0" w:space="0" w:color="auto"/>
                    <w:right w:val="none" w:sz="0" w:space="0" w:color="auto"/>
                  </w:divBdr>
                  <w:divsChild>
                    <w:div w:id="18243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9813">
          <w:marLeft w:val="0"/>
          <w:marRight w:val="0"/>
          <w:marTop w:val="0"/>
          <w:marBottom w:val="0"/>
          <w:divBdr>
            <w:top w:val="none" w:sz="0" w:space="0" w:color="auto"/>
            <w:left w:val="none" w:sz="0" w:space="0" w:color="auto"/>
            <w:bottom w:val="none" w:sz="0" w:space="0" w:color="auto"/>
            <w:right w:val="none" w:sz="0" w:space="0" w:color="auto"/>
          </w:divBdr>
        </w:div>
      </w:divsChild>
    </w:div>
    <w:div w:id="2142994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2B2E87AA589468605FB89BD8B5E58" ma:contentTypeVersion="22" ma:contentTypeDescription="Create a new document." ma:contentTypeScope="" ma:versionID="f2bfdad4a7115589e17d7156cc892fa8">
  <xsd:schema xmlns:xsd="http://www.w3.org/2001/XMLSchema" xmlns:xs="http://www.w3.org/2001/XMLSchema" xmlns:p="http://schemas.microsoft.com/office/2006/metadata/properties" xmlns:ns2="cd78763a-b268-49dc-a2c5-3ef1ab83c425" xmlns:ns3="98142154-8c2f-4d74-96ef-4a872fda751f" targetNamespace="http://schemas.microsoft.com/office/2006/metadata/properties" ma:root="true" ma:fieldsID="0ecc30e1ccb23b88738d4f7b62cf0b6a" ns2:_="" ns3:_="">
    <xsd:import namespace="cd78763a-b268-49dc-a2c5-3ef1ab83c425"/>
    <xsd:import namespace="98142154-8c2f-4d74-96ef-4a872fda751f"/>
    <xsd:element name="properties">
      <xsd:complexType>
        <xsd:sequence>
          <xsd:element name="documentManagement">
            <xsd:complexType>
              <xsd:all>
                <xsd:element ref="ns2:Reg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Reviewed"/>
                <xsd:element ref="ns2:HFD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763a-b268-49dc-a2c5-3ef1ab83c425"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Reviewed" ma:index="25" ma:displayName="Reviewed" ma:default="0" ma:format="Dropdown" ma:internalName="Reviewed">
      <xsd:simpleType>
        <xsd:restriction base="dms:Boolean"/>
      </xsd:simpleType>
    </xsd:element>
    <xsd:element name="HFDNotes" ma:index="26" nillable="true" ma:displayName="Sign-off status" ma:format="Dropdown" ma:internalName="HFDNote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42154-8c2f-4d74-96ef-4a872fda751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cc1ef81-e289-4c4b-89f0-f111aff8c217}" ma:internalName="TaxCatchAll" ma:showField="CatchAllData" ma:web="98142154-8c2f-4d74-96ef-4a872fda7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8763a-b268-49dc-a2c5-3ef1ab83c425">
      <Terms xmlns="http://schemas.microsoft.com/office/infopath/2007/PartnerControls"/>
    </lcf76f155ced4ddcb4097134ff3c332f>
    <HFDNotes xmlns="cd78763a-b268-49dc-a2c5-3ef1ab83c425" xsi:nil="true"/>
    <Reviewed xmlns="cd78763a-b268-49dc-a2c5-3ef1ab83c425"/>
    <Region xmlns="cd78763a-b268-49dc-a2c5-3ef1ab83c425" xsi:nil="true"/>
    <TaxCatchAll xmlns="98142154-8c2f-4d74-96ef-4a872fda751f" xsi:nil="true"/>
    <SharedWithUsers xmlns="98142154-8c2f-4d74-96ef-4a872fda751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E4CEB-80CF-4EA0-80A7-677614762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763a-b268-49dc-a2c5-3ef1ab83c425"/>
    <ds:schemaRef ds:uri="98142154-8c2f-4d74-96ef-4a872fda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487A6-40C3-4F00-AF3B-6CAB3D8ACCF9}">
  <ds:schemaRefs>
    <ds:schemaRef ds:uri="http://schemas.openxmlformats.org/officeDocument/2006/bibliography"/>
  </ds:schemaRefs>
</ds:datastoreItem>
</file>

<file path=customXml/itemProps3.xml><?xml version="1.0" encoding="utf-8"?>
<ds:datastoreItem xmlns:ds="http://schemas.openxmlformats.org/officeDocument/2006/customXml" ds:itemID="{529FFA3A-E434-49BB-9822-710AEC32956A}">
  <ds:schemaRefs>
    <ds:schemaRef ds:uri="http://purl.org/dc/terms/"/>
    <ds:schemaRef ds:uri="http://schemas.openxmlformats.org/package/2006/metadata/core-properties"/>
    <ds:schemaRef ds:uri="98142154-8c2f-4d74-96ef-4a872fda751f"/>
    <ds:schemaRef ds:uri="http://schemas.microsoft.com/office/2006/documentManagement/types"/>
    <ds:schemaRef ds:uri="http://schemas.microsoft.com/office/infopath/2007/PartnerControls"/>
    <ds:schemaRef ds:uri="http://purl.org/dc/elements/1.1/"/>
    <ds:schemaRef ds:uri="http://schemas.microsoft.com/office/2006/metadata/properties"/>
    <ds:schemaRef ds:uri="cd78763a-b268-49dc-a2c5-3ef1ab83c425"/>
    <ds:schemaRef ds:uri="http://www.w3.org/XML/1998/namespace"/>
    <ds:schemaRef ds:uri="http://purl.org/dc/dcmitype/"/>
  </ds:schemaRefs>
</ds:datastoreItem>
</file>

<file path=customXml/itemProps4.xml><?xml version="1.0" encoding="utf-8"?>
<ds:datastoreItem xmlns:ds="http://schemas.openxmlformats.org/officeDocument/2006/customXml" ds:itemID="{931861E4-2191-4ECF-9BF8-B664AA81C643}">
  <ds:schemaRefs>
    <ds:schemaRef ds:uri="http://schemas.microsoft.com/sharepoint/v3/contenttype/forms"/>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2023-11-29T15:14:00Z</dcterms:created>
  <dcterms:modified xsi:type="dcterms:W3CDTF">2023-11-29T15:14:00Z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0x01010005F2B2E87AA589468605FB89BD8B5E58</vt:lpwstr>
  </property>
  <property fmtid="{D5CDD505-2E9C-101B-9397-08002B2CF9AE}" pid="3" name="_dlc_DocIdItemGuid">
    <vt:lpwstr>26b202fa-90ba-4e00-816a-36cc865bfff3</vt:lpwstr>
  </property>
  <property fmtid="{D5CDD505-2E9C-101B-9397-08002B2CF9AE}" pid="4" name="MediaServiceImageTags">
    <vt:lpwstr/>
  </property>
</Properties>
</file>